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A7B6E" w14:textId="1EEF276E" w:rsidR="006F4AE3" w:rsidRPr="00B83BB8" w:rsidRDefault="00814262" w:rsidP="006F4AE3">
      <w:pPr>
        <w:rPr>
          <w:sz w:val="28"/>
          <w:lang w:val="en-US"/>
        </w:rPr>
      </w:pPr>
      <w:r>
        <w:rPr>
          <w:sz w:val="28"/>
          <w:lang w:val="en-US"/>
        </w:rPr>
        <w:t>Supporting Information A</w:t>
      </w:r>
      <w:r w:rsidR="006F4AE3" w:rsidRPr="00B83BB8">
        <w:rPr>
          <w:sz w:val="28"/>
          <w:lang w:val="en-US"/>
        </w:rPr>
        <w:t xml:space="preserve"> </w:t>
      </w:r>
      <w:r>
        <w:rPr>
          <w:sz w:val="28"/>
          <w:lang w:val="en-US"/>
        </w:rPr>
        <w:t>(SI-A</w:t>
      </w:r>
      <w:r w:rsidR="006F4AE3">
        <w:rPr>
          <w:sz w:val="28"/>
          <w:lang w:val="en-US"/>
        </w:rPr>
        <w:t xml:space="preserve">) </w:t>
      </w:r>
      <w:r w:rsidR="006F4AE3" w:rsidRPr="00B83BB8">
        <w:rPr>
          <w:sz w:val="28"/>
          <w:lang w:val="en-US"/>
        </w:rPr>
        <w:t>to:</w:t>
      </w:r>
    </w:p>
    <w:p w14:paraId="0863A9A3" w14:textId="7374CCF2" w:rsidR="00574288" w:rsidRPr="000B792A" w:rsidRDefault="00574288" w:rsidP="00574288">
      <w:pPr>
        <w:jc w:val="center"/>
        <w:rPr>
          <w:b/>
          <w:sz w:val="36"/>
          <w:lang w:val="en-US"/>
        </w:rPr>
      </w:pPr>
      <w:r w:rsidRPr="00574288">
        <w:rPr>
          <w:b/>
          <w:sz w:val="28"/>
        </w:rPr>
        <w:t xml:space="preserve">New Relevant Pesticide Transformation Products in Groundwater Detected Using </w:t>
      </w:r>
      <w:bookmarkStart w:id="0" w:name="_GoBack"/>
      <w:bookmarkEnd w:id="0"/>
      <w:r w:rsidRPr="00574288">
        <w:rPr>
          <w:b/>
          <w:sz w:val="28"/>
        </w:rPr>
        <w:t xml:space="preserve">Target and Suspect Screening for Agricultural and Urban </w:t>
      </w:r>
      <w:proofErr w:type="spellStart"/>
      <w:r w:rsidRPr="00574288">
        <w:rPr>
          <w:b/>
          <w:sz w:val="28"/>
        </w:rPr>
        <w:t>Micropollutants</w:t>
      </w:r>
      <w:proofErr w:type="spellEnd"/>
      <w:r w:rsidRPr="00574288">
        <w:rPr>
          <w:b/>
          <w:sz w:val="28"/>
        </w:rPr>
        <w:t xml:space="preserve"> with LC-HRMS</w:t>
      </w:r>
    </w:p>
    <w:p w14:paraId="7B5A98C2" w14:textId="124049B6" w:rsidR="00DB3E56" w:rsidRPr="002A569A" w:rsidRDefault="00DB3E56" w:rsidP="00DB3E56">
      <w:pPr>
        <w:jc w:val="center"/>
        <w:rPr>
          <w:lang w:val="de-CH"/>
        </w:rPr>
      </w:pPr>
      <w:r w:rsidRPr="002A569A">
        <w:rPr>
          <w:lang w:val="de-CH"/>
        </w:rPr>
        <w:t>Karin Kiefer</w:t>
      </w:r>
      <w:r w:rsidRPr="002A569A">
        <w:rPr>
          <w:vertAlign w:val="superscript"/>
          <w:lang w:val="de-CH"/>
        </w:rPr>
        <w:t>1,2</w:t>
      </w:r>
      <w:r w:rsidRPr="002A569A">
        <w:rPr>
          <w:lang w:val="de-CH"/>
        </w:rPr>
        <w:t>, Adrian Müller</w:t>
      </w:r>
      <w:r w:rsidRPr="002A569A">
        <w:rPr>
          <w:vertAlign w:val="superscript"/>
          <w:lang w:val="de-CH"/>
        </w:rPr>
        <w:t>1</w:t>
      </w:r>
      <w:r w:rsidRPr="002A569A">
        <w:rPr>
          <w:lang w:val="de-CH"/>
        </w:rPr>
        <w:t>, Heinz Singer</w:t>
      </w:r>
      <w:r w:rsidRPr="002A569A">
        <w:rPr>
          <w:vertAlign w:val="superscript"/>
          <w:lang w:val="de-CH"/>
        </w:rPr>
        <w:t>1</w:t>
      </w:r>
      <w:r w:rsidRPr="002A569A">
        <w:rPr>
          <w:lang w:val="de-CH"/>
        </w:rPr>
        <w:t>, Juliane Hollender</w:t>
      </w:r>
      <w:r w:rsidRPr="002A569A">
        <w:rPr>
          <w:vertAlign w:val="superscript"/>
          <w:lang w:val="de-CH"/>
        </w:rPr>
        <w:t>1,2</w:t>
      </w:r>
      <w:r w:rsidRPr="002A569A">
        <w:rPr>
          <w:lang w:val="de-CH"/>
        </w:rPr>
        <w:t>*</w:t>
      </w:r>
    </w:p>
    <w:p w14:paraId="5DA34F53" w14:textId="77777777" w:rsidR="00DB3E56" w:rsidRPr="002A569A" w:rsidRDefault="00DB3E56" w:rsidP="00DB3E56">
      <w:pPr>
        <w:pStyle w:val="BCAuthorAddress"/>
        <w:rPr>
          <w:rFonts w:asciiTheme="minorHAnsi" w:eastAsiaTheme="minorHAnsi" w:hAnsiTheme="minorHAnsi"/>
          <w:sz w:val="22"/>
          <w:lang w:val="de-CH"/>
        </w:rPr>
      </w:pPr>
    </w:p>
    <w:p w14:paraId="5D26FEF0" w14:textId="475880C4" w:rsidR="00DB3E56" w:rsidRPr="00727DC3" w:rsidRDefault="00DB3E56" w:rsidP="00DB3E56">
      <w:pPr>
        <w:pStyle w:val="BCAuthorAddress"/>
        <w:rPr>
          <w:rFonts w:asciiTheme="minorHAnsi" w:eastAsiaTheme="minorHAnsi" w:hAnsiTheme="minorHAnsi"/>
          <w:sz w:val="22"/>
          <w:lang w:val="de-CH"/>
        </w:rPr>
      </w:pPr>
      <w:r w:rsidRPr="002A569A">
        <w:rPr>
          <w:rFonts w:asciiTheme="minorHAnsi" w:eastAsiaTheme="minorHAnsi" w:hAnsiTheme="minorHAnsi"/>
          <w:sz w:val="22"/>
          <w:vertAlign w:val="superscript"/>
          <w:lang w:val="de-CH"/>
        </w:rPr>
        <w:t>1</w:t>
      </w:r>
      <w:r w:rsidRPr="002A569A">
        <w:rPr>
          <w:rFonts w:asciiTheme="minorHAnsi" w:eastAsiaTheme="minorHAnsi" w:hAnsiTheme="minorHAnsi"/>
          <w:sz w:val="22"/>
          <w:lang w:val="de-CH"/>
        </w:rPr>
        <w:t xml:space="preserve">Eawag: Swiss Federal Institute </w:t>
      </w:r>
      <w:proofErr w:type="spellStart"/>
      <w:r w:rsidRPr="002A569A">
        <w:rPr>
          <w:rFonts w:asciiTheme="minorHAnsi" w:eastAsiaTheme="minorHAnsi" w:hAnsiTheme="minorHAnsi"/>
          <w:sz w:val="22"/>
          <w:lang w:val="de-CH"/>
        </w:rPr>
        <w:t>of</w:t>
      </w:r>
      <w:proofErr w:type="spellEnd"/>
      <w:r w:rsidRPr="002A569A">
        <w:rPr>
          <w:rFonts w:asciiTheme="minorHAnsi" w:eastAsiaTheme="minorHAnsi" w:hAnsiTheme="minorHAnsi"/>
          <w:sz w:val="22"/>
          <w:lang w:val="de-CH"/>
        </w:rPr>
        <w:t xml:space="preserve"> </w:t>
      </w:r>
      <w:proofErr w:type="spellStart"/>
      <w:r w:rsidRPr="002A569A">
        <w:rPr>
          <w:rFonts w:asciiTheme="minorHAnsi" w:eastAsiaTheme="minorHAnsi" w:hAnsiTheme="minorHAnsi"/>
          <w:sz w:val="22"/>
          <w:lang w:val="de-CH"/>
        </w:rPr>
        <w:t>Aquatic</w:t>
      </w:r>
      <w:proofErr w:type="spellEnd"/>
      <w:r w:rsidRPr="002A569A">
        <w:rPr>
          <w:rFonts w:asciiTheme="minorHAnsi" w:eastAsiaTheme="minorHAnsi" w:hAnsiTheme="minorHAnsi"/>
          <w:sz w:val="22"/>
          <w:lang w:val="de-CH"/>
        </w:rPr>
        <w:t xml:space="preserve"> Science </w:t>
      </w:r>
      <w:proofErr w:type="spellStart"/>
      <w:r w:rsidRPr="002A569A">
        <w:rPr>
          <w:rFonts w:asciiTheme="minorHAnsi" w:eastAsiaTheme="minorHAnsi" w:hAnsiTheme="minorHAnsi"/>
          <w:sz w:val="22"/>
          <w:lang w:val="de-CH"/>
        </w:rPr>
        <w:t>and</w:t>
      </w:r>
      <w:proofErr w:type="spellEnd"/>
      <w:r w:rsidRPr="002A569A">
        <w:rPr>
          <w:rFonts w:asciiTheme="minorHAnsi" w:eastAsiaTheme="minorHAnsi" w:hAnsiTheme="minorHAnsi"/>
          <w:sz w:val="22"/>
          <w:lang w:val="de-CH"/>
        </w:rPr>
        <w:t xml:space="preserve"> Technology, </w:t>
      </w:r>
      <w:proofErr w:type="spellStart"/>
      <w:r w:rsidRPr="002A569A">
        <w:rPr>
          <w:rFonts w:asciiTheme="minorHAnsi" w:eastAsiaTheme="minorHAnsi" w:hAnsiTheme="minorHAnsi"/>
          <w:sz w:val="22"/>
          <w:lang w:val="de-CH"/>
        </w:rPr>
        <w:t>Ueberlandstrasse</w:t>
      </w:r>
      <w:proofErr w:type="spellEnd"/>
      <w:r w:rsidRPr="002A569A">
        <w:rPr>
          <w:rFonts w:asciiTheme="minorHAnsi" w:eastAsiaTheme="minorHAnsi" w:hAnsiTheme="minorHAnsi"/>
          <w:sz w:val="22"/>
          <w:lang w:val="de-CH"/>
        </w:rPr>
        <w:t xml:space="preserve"> 133, 8600 </w:t>
      </w:r>
      <w:proofErr w:type="spellStart"/>
      <w:r w:rsidRPr="002A569A">
        <w:rPr>
          <w:rFonts w:asciiTheme="minorHAnsi" w:eastAsiaTheme="minorHAnsi" w:hAnsiTheme="minorHAnsi"/>
          <w:sz w:val="22"/>
          <w:lang w:val="de-CH"/>
        </w:rPr>
        <w:t>Duebendorf</w:t>
      </w:r>
      <w:proofErr w:type="spellEnd"/>
      <w:r w:rsidRPr="002A569A">
        <w:rPr>
          <w:rFonts w:asciiTheme="minorHAnsi" w:eastAsiaTheme="minorHAnsi" w:hAnsiTheme="minorHAnsi"/>
          <w:sz w:val="22"/>
          <w:lang w:val="de-CH"/>
        </w:rPr>
        <w:t xml:space="preserve">, </w:t>
      </w:r>
      <w:proofErr w:type="spellStart"/>
      <w:r w:rsidRPr="002A569A">
        <w:rPr>
          <w:rFonts w:asciiTheme="minorHAnsi" w:eastAsiaTheme="minorHAnsi" w:hAnsiTheme="minorHAnsi"/>
          <w:sz w:val="22"/>
          <w:lang w:val="de-CH"/>
        </w:rPr>
        <w:t>Switzerland</w:t>
      </w:r>
      <w:proofErr w:type="spellEnd"/>
      <w:r w:rsidRPr="002A569A">
        <w:rPr>
          <w:rFonts w:asciiTheme="minorHAnsi" w:eastAsiaTheme="minorHAnsi" w:hAnsiTheme="minorHAnsi"/>
          <w:sz w:val="22"/>
          <w:lang w:val="de-CH"/>
        </w:rPr>
        <w:t xml:space="preserve"> </w:t>
      </w:r>
      <w:r w:rsidRPr="002A569A">
        <w:rPr>
          <w:rFonts w:asciiTheme="minorHAnsi" w:eastAsiaTheme="minorHAnsi" w:hAnsiTheme="minorHAnsi"/>
          <w:sz w:val="22"/>
          <w:lang w:val="de-CH"/>
        </w:rPr>
        <w:br/>
      </w:r>
      <w:r w:rsidRPr="002A569A">
        <w:rPr>
          <w:rFonts w:asciiTheme="minorHAnsi" w:eastAsiaTheme="minorHAnsi" w:hAnsiTheme="minorHAnsi"/>
          <w:sz w:val="22"/>
          <w:vertAlign w:val="superscript"/>
          <w:lang w:val="de-CH"/>
        </w:rPr>
        <w:t>2</w:t>
      </w:r>
      <w:r w:rsidRPr="002A569A">
        <w:rPr>
          <w:rFonts w:asciiTheme="minorHAnsi" w:eastAsiaTheme="minorHAnsi" w:hAnsiTheme="minorHAnsi"/>
          <w:sz w:val="22"/>
          <w:lang w:val="de-CH"/>
        </w:rPr>
        <w:t xml:space="preserve">Institute </w:t>
      </w:r>
      <w:proofErr w:type="spellStart"/>
      <w:r w:rsidRPr="002A569A">
        <w:rPr>
          <w:rFonts w:asciiTheme="minorHAnsi" w:eastAsiaTheme="minorHAnsi" w:hAnsiTheme="minorHAnsi"/>
          <w:sz w:val="22"/>
          <w:lang w:val="de-CH"/>
        </w:rPr>
        <w:t>of</w:t>
      </w:r>
      <w:proofErr w:type="spellEnd"/>
      <w:r w:rsidRPr="002A569A">
        <w:rPr>
          <w:rFonts w:asciiTheme="minorHAnsi" w:eastAsiaTheme="minorHAnsi" w:hAnsiTheme="minorHAnsi"/>
          <w:sz w:val="22"/>
          <w:lang w:val="de-CH"/>
        </w:rPr>
        <w:t xml:space="preserve"> </w:t>
      </w:r>
      <w:proofErr w:type="spellStart"/>
      <w:r w:rsidRPr="002A569A">
        <w:rPr>
          <w:rFonts w:asciiTheme="minorHAnsi" w:eastAsiaTheme="minorHAnsi" w:hAnsiTheme="minorHAnsi"/>
          <w:sz w:val="22"/>
          <w:lang w:val="de-CH"/>
        </w:rPr>
        <w:t>Biogeochemistry</w:t>
      </w:r>
      <w:proofErr w:type="spellEnd"/>
      <w:r w:rsidRPr="002A569A">
        <w:rPr>
          <w:rFonts w:asciiTheme="minorHAnsi" w:eastAsiaTheme="minorHAnsi" w:hAnsiTheme="minorHAnsi"/>
          <w:sz w:val="22"/>
          <w:lang w:val="de-CH"/>
        </w:rPr>
        <w:t xml:space="preserve"> </w:t>
      </w:r>
      <w:proofErr w:type="spellStart"/>
      <w:r w:rsidRPr="002A569A">
        <w:rPr>
          <w:rFonts w:asciiTheme="minorHAnsi" w:eastAsiaTheme="minorHAnsi" w:hAnsiTheme="minorHAnsi"/>
          <w:sz w:val="22"/>
          <w:lang w:val="de-CH"/>
        </w:rPr>
        <w:t>and</w:t>
      </w:r>
      <w:proofErr w:type="spellEnd"/>
      <w:r w:rsidRPr="002A569A">
        <w:rPr>
          <w:rFonts w:asciiTheme="minorHAnsi" w:eastAsiaTheme="minorHAnsi" w:hAnsiTheme="minorHAnsi"/>
          <w:sz w:val="22"/>
          <w:lang w:val="de-CH"/>
        </w:rPr>
        <w:t xml:space="preserve"> </w:t>
      </w:r>
      <w:proofErr w:type="spellStart"/>
      <w:r w:rsidRPr="002A569A">
        <w:rPr>
          <w:rFonts w:asciiTheme="minorHAnsi" w:eastAsiaTheme="minorHAnsi" w:hAnsiTheme="minorHAnsi"/>
          <w:sz w:val="22"/>
          <w:lang w:val="de-CH"/>
        </w:rPr>
        <w:t>Pollutant</w:t>
      </w:r>
      <w:proofErr w:type="spellEnd"/>
      <w:r w:rsidRPr="002A569A">
        <w:rPr>
          <w:rFonts w:asciiTheme="minorHAnsi" w:eastAsiaTheme="minorHAnsi" w:hAnsiTheme="minorHAnsi"/>
          <w:sz w:val="22"/>
          <w:lang w:val="de-CH"/>
        </w:rPr>
        <w:t xml:space="preserve"> Dynamics, Universitätstrasse 16, ETH Zürich, 8092 </w:t>
      </w:r>
      <w:proofErr w:type="spellStart"/>
      <w:r w:rsidRPr="002A569A">
        <w:rPr>
          <w:rFonts w:asciiTheme="minorHAnsi" w:eastAsiaTheme="minorHAnsi" w:hAnsiTheme="minorHAnsi"/>
          <w:sz w:val="22"/>
          <w:lang w:val="de-CH"/>
        </w:rPr>
        <w:t>Zurich</w:t>
      </w:r>
      <w:proofErr w:type="spellEnd"/>
      <w:r w:rsidRPr="002A569A">
        <w:rPr>
          <w:rFonts w:asciiTheme="minorHAnsi" w:eastAsiaTheme="minorHAnsi" w:hAnsiTheme="minorHAnsi"/>
          <w:sz w:val="22"/>
          <w:lang w:val="de-CH"/>
        </w:rPr>
        <w:t xml:space="preserve">, </w:t>
      </w:r>
      <w:proofErr w:type="spellStart"/>
      <w:r w:rsidRPr="002A569A">
        <w:rPr>
          <w:rFonts w:asciiTheme="minorHAnsi" w:eastAsiaTheme="minorHAnsi" w:hAnsiTheme="minorHAnsi"/>
          <w:sz w:val="22"/>
          <w:lang w:val="de-CH"/>
        </w:rPr>
        <w:t>Switzerland</w:t>
      </w:r>
      <w:proofErr w:type="spellEnd"/>
      <w:r>
        <w:rPr>
          <w:rFonts w:asciiTheme="minorHAnsi" w:eastAsiaTheme="minorHAnsi" w:hAnsiTheme="minorHAnsi"/>
          <w:sz w:val="22"/>
          <w:lang w:val="de-CH"/>
        </w:rPr>
        <w:br/>
      </w:r>
    </w:p>
    <w:p w14:paraId="3C0F2A95" w14:textId="264981B8" w:rsidR="00DB3E56" w:rsidRDefault="00DB3E56" w:rsidP="00DB3E56">
      <w:pPr>
        <w:jc w:val="center"/>
        <w:rPr>
          <w:lang w:val="en-US"/>
        </w:rPr>
      </w:pPr>
      <w:r>
        <w:rPr>
          <w:lang w:val="en-US"/>
        </w:rPr>
        <w:t>*</w:t>
      </w:r>
      <w:r w:rsidRPr="004A735A">
        <w:rPr>
          <w:lang w:val="en-US"/>
        </w:rPr>
        <w:t>Corresponding author</w:t>
      </w:r>
      <w:r>
        <w:rPr>
          <w:lang w:val="en-US"/>
        </w:rPr>
        <w:t xml:space="preserve">: </w:t>
      </w:r>
      <w:hyperlink r:id="rId8" w:history="1">
        <w:r w:rsidR="00574288" w:rsidRPr="00332E46">
          <w:rPr>
            <w:rStyle w:val="Hyperlink"/>
            <w:lang w:val="en-US"/>
          </w:rPr>
          <w:t>juliane.hollender@eawag.ch</w:t>
        </w:r>
      </w:hyperlink>
    </w:p>
    <w:p w14:paraId="118FAE74" w14:textId="77777777" w:rsidR="00574288" w:rsidRDefault="00574288" w:rsidP="00DB3E56">
      <w:pPr>
        <w:jc w:val="center"/>
        <w:rPr>
          <w:lang w:val="en-US"/>
        </w:rPr>
      </w:pPr>
    </w:p>
    <w:p w14:paraId="6BA28726" w14:textId="4B35FCE4" w:rsidR="00574288" w:rsidRPr="00574288" w:rsidRDefault="00574288" w:rsidP="00DB3E56">
      <w:pPr>
        <w:jc w:val="center"/>
        <w:rPr>
          <w:sz w:val="28"/>
          <w:lang w:val="en-US"/>
        </w:rPr>
      </w:pPr>
      <w:r w:rsidRPr="00574288">
        <w:rPr>
          <w:sz w:val="28"/>
          <w:lang w:val="en-US"/>
        </w:rPr>
        <w:t>Water Research, 2019</w:t>
      </w:r>
    </w:p>
    <w:p w14:paraId="7A119D2C" w14:textId="337AB23B" w:rsidR="00316853" w:rsidRDefault="00316853" w:rsidP="00306800">
      <w:pPr>
        <w:rPr>
          <w:lang w:val="en-US"/>
        </w:rPr>
      </w:pPr>
    </w:p>
    <w:p w14:paraId="05145090" w14:textId="3795EF64" w:rsidR="00FB2BFB" w:rsidRDefault="00FB2BFB" w:rsidP="00306800">
      <w:pPr>
        <w:rPr>
          <w:lang w:val="en-US"/>
        </w:rPr>
      </w:pPr>
    </w:p>
    <w:p w14:paraId="0E0D9DA2" w14:textId="77777777" w:rsidR="00FB2BFB" w:rsidRPr="00DB3E56" w:rsidRDefault="00FB2BFB" w:rsidP="00306800">
      <w:pPr>
        <w:rPr>
          <w:lang w:val="en-US"/>
        </w:rPr>
      </w:pPr>
    </w:p>
    <w:p w14:paraId="10C78970" w14:textId="77777777" w:rsidR="00316853" w:rsidRPr="00316853" w:rsidRDefault="00316853" w:rsidP="00306800">
      <w:pPr>
        <w:rPr>
          <w:b/>
        </w:rPr>
      </w:pPr>
      <w:r w:rsidRPr="00316853">
        <w:rPr>
          <w:b/>
        </w:rPr>
        <w:t>Table of Contents</w:t>
      </w:r>
    </w:p>
    <w:p w14:paraId="5D1B2AC8" w14:textId="0458C375" w:rsidR="00181B0F" w:rsidRDefault="00316853">
      <w:pPr>
        <w:pStyle w:val="TableofFigures"/>
        <w:tabs>
          <w:tab w:val="right" w:leader="dot" w:pos="9062"/>
        </w:tabs>
        <w:rPr>
          <w:rFonts w:eastAsiaTheme="minorEastAsia"/>
          <w:noProof/>
          <w:lang w:val="de-CH" w:eastAsia="de-CH"/>
        </w:rPr>
      </w:pPr>
      <w:r>
        <w:fldChar w:fldCharType="begin"/>
      </w:r>
      <w:r>
        <w:instrText xml:space="preserve"> TOC \h \z \c "SI-A" </w:instrText>
      </w:r>
      <w:r>
        <w:fldChar w:fldCharType="separate"/>
      </w:r>
      <w:hyperlink w:anchor="_Toc12624281" w:history="1">
        <w:r w:rsidR="00181B0F" w:rsidRPr="00C93BAF">
          <w:rPr>
            <w:rStyle w:val="Hyperlink"/>
            <w:noProof/>
          </w:rPr>
          <w:t>SI-A 1: Analytical Methods</w:t>
        </w:r>
        <w:r w:rsidR="00181B0F">
          <w:rPr>
            <w:noProof/>
            <w:webHidden/>
          </w:rPr>
          <w:tab/>
        </w:r>
        <w:r w:rsidR="00181B0F">
          <w:rPr>
            <w:noProof/>
            <w:webHidden/>
          </w:rPr>
          <w:fldChar w:fldCharType="begin"/>
        </w:r>
        <w:r w:rsidR="00181B0F">
          <w:rPr>
            <w:noProof/>
            <w:webHidden/>
          </w:rPr>
          <w:instrText xml:space="preserve"> PAGEREF _Toc12624281 \h </w:instrText>
        </w:r>
        <w:r w:rsidR="00181B0F">
          <w:rPr>
            <w:noProof/>
            <w:webHidden/>
          </w:rPr>
        </w:r>
        <w:r w:rsidR="00181B0F">
          <w:rPr>
            <w:noProof/>
            <w:webHidden/>
          </w:rPr>
          <w:fldChar w:fldCharType="separate"/>
        </w:r>
        <w:r w:rsidR="00181B0F">
          <w:rPr>
            <w:noProof/>
            <w:webHidden/>
          </w:rPr>
          <w:t>2</w:t>
        </w:r>
        <w:r w:rsidR="00181B0F">
          <w:rPr>
            <w:noProof/>
            <w:webHidden/>
          </w:rPr>
          <w:fldChar w:fldCharType="end"/>
        </w:r>
      </w:hyperlink>
    </w:p>
    <w:p w14:paraId="76452101" w14:textId="03FFE709" w:rsidR="00181B0F" w:rsidRDefault="00F9759D">
      <w:pPr>
        <w:pStyle w:val="TableofFigures"/>
        <w:tabs>
          <w:tab w:val="right" w:leader="dot" w:pos="9062"/>
        </w:tabs>
        <w:rPr>
          <w:rFonts w:eastAsiaTheme="minorEastAsia"/>
          <w:noProof/>
          <w:lang w:val="de-CH" w:eastAsia="de-CH"/>
        </w:rPr>
      </w:pPr>
      <w:hyperlink w:anchor="_Toc12624282" w:history="1">
        <w:r w:rsidR="00181B0F" w:rsidRPr="00C93BAF">
          <w:rPr>
            <w:rStyle w:val="Hyperlink"/>
            <w:noProof/>
          </w:rPr>
          <w:t>SI-A 2: Target Quantification</w:t>
        </w:r>
        <w:r w:rsidR="00181B0F">
          <w:rPr>
            <w:noProof/>
            <w:webHidden/>
          </w:rPr>
          <w:tab/>
        </w:r>
        <w:r w:rsidR="00181B0F">
          <w:rPr>
            <w:noProof/>
            <w:webHidden/>
          </w:rPr>
          <w:fldChar w:fldCharType="begin"/>
        </w:r>
        <w:r w:rsidR="00181B0F">
          <w:rPr>
            <w:noProof/>
            <w:webHidden/>
          </w:rPr>
          <w:instrText xml:space="preserve"> PAGEREF _Toc12624282 \h </w:instrText>
        </w:r>
        <w:r w:rsidR="00181B0F">
          <w:rPr>
            <w:noProof/>
            <w:webHidden/>
          </w:rPr>
        </w:r>
        <w:r w:rsidR="00181B0F">
          <w:rPr>
            <w:noProof/>
            <w:webHidden/>
          </w:rPr>
          <w:fldChar w:fldCharType="separate"/>
        </w:r>
        <w:r w:rsidR="00181B0F">
          <w:rPr>
            <w:noProof/>
            <w:webHidden/>
          </w:rPr>
          <w:t>3</w:t>
        </w:r>
        <w:r w:rsidR="00181B0F">
          <w:rPr>
            <w:noProof/>
            <w:webHidden/>
          </w:rPr>
          <w:fldChar w:fldCharType="end"/>
        </w:r>
      </w:hyperlink>
    </w:p>
    <w:p w14:paraId="55102836" w14:textId="2908E9DB" w:rsidR="00181B0F" w:rsidRDefault="00F9759D">
      <w:pPr>
        <w:pStyle w:val="TableofFigures"/>
        <w:tabs>
          <w:tab w:val="right" w:leader="dot" w:pos="9062"/>
        </w:tabs>
        <w:rPr>
          <w:rFonts w:eastAsiaTheme="minorEastAsia"/>
          <w:noProof/>
          <w:lang w:val="de-CH" w:eastAsia="de-CH"/>
        </w:rPr>
      </w:pPr>
      <w:hyperlink w:anchor="_Toc12624283" w:history="1">
        <w:r w:rsidR="00181B0F" w:rsidRPr="00C93BAF">
          <w:rPr>
            <w:rStyle w:val="Hyperlink"/>
            <w:noProof/>
          </w:rPr>
          <w:t>SI-A 3: Suspect Screening</w:t>
        </w:r>
        <w:r w:rsidR="00181B0F">
          <w:rPr>
            <w:noProof/>
            <w:webHidden/>
          </w:rPr>
          <w:tab/>
        </w:r>
        <w:r w:rsidR="00181B0F">
          <w:rPr>
            <w:noProof/>
            <w:webHidden/>
          </w:rPr>
          <w:fldChar w:fldCharType="begin"/>
        </w:r>
        <w:r w:rsidR="00181B0F">
          <w:rPr>
            <w:noProof/>
            <w:webHidden/>
          </w:rPr>
          <w:instrText xml:space="preserve"> PAGEREF _Toc12624283 \h </w:instrText>
        </w:r>
        <w:r w:rsidR="00181B0F">
          <w:rPr>
            <w:noProof/>
            <w:webHidden/>
          </w:rPr>
        </w:r>
        <w:r w:rsidR="00181B0F">
          <w:rPr>
            <w:noProof/>
            <w:webHidden/>
          </w:rPr>
          <w:fldChar w:fldCharType="separate"/>
        </w:r>
        <w:r w:rsidR="00181B0F">
          <w:rPr>
            <w:noProof/>
            <w:webHidden/>
          </w:rPr>
          <w:t>5</w:t>
        </w:r>
        <w:r w:rsidR="00181B0F">
          <w:rPr>
            <w:noProof/>
            <w:webHidden/>
          </w:rPr>
          <w:fldChar w:fldCharType="end"/>
        </w:r>
      </w:hyperlink>
    </w:p>
    <w:p w14:paraId="67E37B67" w14:textId="68DDA90E" w:rsidR="00181B0F" w:rsidRDefault="00F9759D">
      <w:pPr>
        <w:pStyle w:val="TableofFigures"/>
        <w:tabs>
          <w:tab w:val="right" w:leader="dot" w:pos="9062"/>
        </w:tabs>
        <w:rPr>
          <w:rFonts w:eastAsiaTheme="minorEastAsia"/>
          <w:noProof/>
          <w:lang w:val="de-CH" w:eastAsia="de-CH"/>
        </w:rPr>
      </w:pPr>
      <w:hyperlink w:anchor="_Toc12624284" w:history="1">
        <w:r w:rsidR="00181B0F" w:rsidRPr="00C93BAF">
          <w:rPr>
            <w:rStyle w:val="Hyperlink"/>
            <w:noProof/>
          </w:rPr>
          <w:t>SI-A 4: Suspect Confirmation and Quantification</w:t>
        </w:r>
        <w:r w:rsidR="00181B0F">
          <w:rPr>
            <w:noProof/>
            <w:webHidden/>
          </w:rPr>
          <w:tab/>
        </w:r>
        <w:r w:rsidR="00181B0F">
          <w:rPr>
            <w:noProof/>
            <w:webHidden/>
          </w:rPr>
          <w:fldChar w:fldCharType="begin"/>
        </w:r>
        <w:r w:rsidR="00181B0F">
          <w:rPr>
            <w:noProof/>
            <w:webHidden/>
          </w:rPr>
          <w:instrText xml:space="preserve"> PAGEREF _Toc12624284 \h </w:instrText>
        </w:r>
        <w:r w:rsidR="00181B0F">
          <w:rPr>
            <w:noProof/>
            <w:webHidden/>
          </w:rPr>
        </w:r>
        <w:r w:rsidR="00181B0F">
          <w:rPr>
            <w:noProof/>
            <w:webHidden/>
          </w:rPr>
          <w:fldChar w:fldCharType="separate"/>
        </w:r>
        <w:r w:rsidR="00181B0F">
          <w:rPr>
            <w:noProof/>
            <w:webHidden/>
          </w:rPr>
          <w:t>9</w:t>
        </w:r>
        <w:r w:rsidR="00181B0F">
          <w:rPr>
            <w:noProof/>
            <w:webHidden/>
          </w:rPr>
          <w:fldChar w:fldCharType="end"/>
        </w:r>
      </w:hyperlink>
    </w:p>
    <w:p w14:paraId="1D020BD1" w14:textId="1D5EC4AF" w:rsidR="00181B0F" w:rsidRDefault="00F9759D">
      <w:pPr>
        <w:pStyle w:val="TableofFigures"/>
        <w:tabs>
          <w:tab w:val="right" w:leader="dot" w:pos="9062"/>
        </w:tabs>
        <w:rPr>
          <w:rFonts w:eastAsiaTheme="minorEastAsia"/>
          <w:noProof/>
          <w:lang w:val="de-CH" w:eastAsia="de-CH"/>
        </w:rPr>
      </w:pPr>
      <w:hyperlink w:anchor="_Toc12624285" w:history="1">
        <w:r w:rsidR="00181B0F" w:rsidRPr="00C93BAF">
          <w:rPr>
            <w:rStyle w:val="Hyperlink"/>
            <w:noProof/>
          </w:rPr>
          <w:t>SI-A 5: Results of Target and Suspect Screening</w:t>
        </w:r>
        <w:r w:rsidR="00181B0F">
          <w:rPr>
            <w:noProof/>
            <w:webHidden/>
          </w:rPr>
          <w:tab/>
        </w:r>
        <w:r w:rsidR="00181B0F">
          <w:rPr>
            <w:noProof/>
            <w:webHidden/>
          </w:rPr>
          <w:fldChar w:fldCharType="begin"/>
        </w:r>
        <w:r w:rsidR="00181B0F">
          <w:rPr>
            <w:noProof/>
            <w:webHidden/>
          </w:rPr>
          <w:instrText xml:space="preserve"> PAGEREF _Toc12624285 \h </w:instrText>
        </w:r>
        <w:r w:rsidR="00181B0F">
          <w:rPr>
            <w:noProof/>
            <w:webHidden/>
          </w:rPr>
        </w:r>
        <w:r w:rsidR="00181B0F">
          <w:rPr>
            <w:noProof/>
            <w:webHidden/>
          </w:rPr>
          <w:fldChar w:fldCharType="separate"/>
        </w:r>
        <w:r w:rsidR="00181B0F">
          <w:rPr>
            <w:noProof/>
            <w:webHidden/>
          </w:rPr>
          <w:t>11</w:t>
        </w:r>
        <w:r w:rsidR="00181B0F">
          <w:rPr>
            <w:noProof/>
            <w:webHidden/>
          </w:rPr>
          <w:fldChar w:fldCharType="end"/>
        </w:r>
      </w:hyperlink>
    </w:p>
    <w:p w14:paraId="728C0BE4" w14:textId="45A8FC34" w:rsidR="00181B0F" w:rsidRDefault="00F9759D">
      <w:pPr>
        <w:pStyle w:val="TableofFigures"/>
        <w:tabs>
          <w:tab w:val="right" w:leader="dot" w:pos="9062"/>
        </w:tabs>
        <w:rPr>
          <w:rFonts w:eastAsiaTheme="minorEastAsia"/>
          <w:noProof/>
          <w:lang w:val="de-CH" w:eastAsia="de-CH"/>
        </w:rPr>
      </w:pPr>
      <w:hyperlink w:anchor="_Toc12624286" w:history="1">
        <w:r w:rsidR="00181B0F" w:rsidRPr="00C93BAF">
          <w:rPr>
            <w:rStyle w:val="Hyperlink"/>
            <w:noProof/>
          </w:rPr>
          <w:t>SI-A 6: Impact of Land Use on Groundwater Quality</w:t>
        </w:r>
        <w:r w:rsidR="00181B0F">
          <w:rPr>
            <w:noProof/>
            <w:webHidden/>
          </w:rPr>
          <w:tab/>
        </w:r>
        <w:r w:rsidR="00181B0F">
          <w:rPr>
            <w:noProof/>
            <w:webHidden/>
          </w:rPr>
          <w:fldChar w:fldCharType="begin"/>
        </w:r>
        <w:r w:rsidR="00181B0F">
          <w:rPr>
            <w:noProof/>
            <w:webHidden/>
          </w:rPr>
          <w:instrText xml:space="preserve"> PAGEREF _Toc12624286 \h </w:instrText>
        </w:r>
        <w:r w:rsidR="00181B0F">
          <w:rPr>
            <w:noProof/>
            <w:webHidden/>
          </w:rPr>
        </w:r>
        <w:r w:rsidR="00181B0F">
          <w:rPr>
            <w:noProof/>
            <w:webHidden/>
          </w:rPr>
          <w:fldChar w:fldCharType="separate"/>
        </w:r>
        <w:r w:rsidR="00181B0F">
          <w:rPr>
            <w:noProof/>
            <w:webHidden/>
          </w:rPr>
          <w:t>14</w:t>
        </w:r>
        <w:r w:rsidR="00181B0F">
          <w:rPr>
            <w:noProof/>
            <w:webHidden/>
          </w:rPr>
          <w:fldChar w:fldCharType="end"/>
        </w:r>
      </w:hyperlink>
    </w:p>
    <w:p w14:paraId="25CC43D7" w14:textId="439C454B" w:rsidR="00102C06" w:rsidRDefault="00316853" w:rsidP="00306800">
      <w:r>
        <w:fldChar w:fldCharType="end"/>
      </w:r>
    </w:p>
    <w:p w14:paraId="20A330B6" w14:textId="77777777" w:rsidR="00102C06" w:rsidRDefault="00102C06">
      <w:pPr>
        <w:spacing w:line="276" w:lineRule="auto"/>
        <w:jc w:val="left"/>
      </w:pPr>
      <w:r>
        <w:br w:type="page"/>
      </w:r>
    </w:p>
    <w:p w14:paraId="28536649" w14:textId="5EF6F75D" w:rsidR="003F329E" w:rsidRPr="00622B98" w:rsidRDefault="00BF28C8" w:rsidP="00622B98">
      <w:pPr>
        <w:pStyle w:val="Heading1"/>
      </w:pPr>
      <w:bookmarkStart w:id="1" w:name="_Ref522619963"/>
      <w:bookmarkStart w:id="2" w:name="_Toc12624281"/>
      <w:r w:rsidRPr="00622B98">
        <w:lastRenderedPageBreak/>
        <w:t xml:space="preserve">SI-A </w:t>
      </w:r>
      <w:r w:rsidR="00FC5850">
        <w:fldChar w:fldCharType="begin"/>
      </w:r>
      <w:r w:rsidR="00FC5850">
        <w:instrText xml:space="preserve"> SEQ SI-A \* ARABIC </w:instrText>
      </w:r>
      <w:r w:rsidR="00FC5850">
        <w:fldChar w:fldCharType="separate"/>
      </w:r>
      <w:r w:rsidR="00181B0F">
        <w:rPr>
          <w:noProof/>
        </w:rPr>
        <w:t>1</w:t>
      </w:r>
      <w:r w:rsidR="00FC5850">
        <w:fldChar w:fldCharType="end"/>
      </w:r>
      <w:bookmarkEnd w:id="1"/>
      <w:r w:rsidRPr="00622B98">
        <w:t>:</w:t>
      </w:r>
      <w:r w:rsidR="00C618C8" w:rsidRPr="00622B98">
        <w:t xml:space="preserve"> Analytical Methods</w:t>
      </w:r>
      <w:bookmarkEnd w:id="2"/>
    </w:p>
    <w:p w14:paraId="2287D22E" w14:textId="404D1A03" w:rsidR="0058494D" w:rsidRDefault="00012FF3" w:rsidP="00306800">
      <w:r w:rsidRPr="00012FF3">
        <w:rPr>
          <w:b/>
        </w:rPr>
        <w:t>Spike solutions:</w:t>
      </w:r>
      <w:r>
        <w:t xml:space="preserve"> </w:t>
      </w:r>
      <w:r w:rsidR="0058494D">
        <w:t xml:space="preserve">Reference material was dissolved in ethanol, methanol, acetonitrile, ethanol/water mix, methanol/water mix, </w:t>
      </w:r>
      <w:r w:rsidR="00306800">
        <w:t>dimethyl sulfoxide</w:t>
      </w:r>
      <w:r w:rsidR="0058494D">
        <w:t>,</w:t>
      </w:r>
      <w:r w:rsidR="00306800">
        <w:t xml:space="preserve"> ethyl acetate, tolu</w:t>
      </w:r>
      <w:r w:rsidR="00A7397F">
        <w:t>ene</w:t>
      </w:r>
      <w:r w:rsidR="00306800">
        <w:t>, acetone, water,</w:t>
      </w:r>
      <w:r w:rsidR="0058494D">
        <w:t xml:space="preserve"> ethanol + 0.1</w:t>
      </w:r>
      <w:r w:rsidR="00306800">
        <w:t xml:space="preserve"> </w:t>
      </w:r>
      <w:r w:rsidR="0058494D">
        <w:t xml:space="preserve">M </w:t>
      </w:r>
      <w:proofErr w:type="spellStart"/>
      <w:r w:rsidR="0058494D">
        <w:t>HCl</w:t>
      </w:r>
      <w:proofErr w:type="spellEnd"/>
      <w:r w:rsidR="0058494D">
        <w:t>,</w:t>
      </w:r>
      <w:r w:rsidR="00306800">
        <w:t xml:space="preserve"> or</w:t>
      </w:r>
      <w:r w:rsidR="0058494D">
        <w:t xml:space="preserve"> methanol + 0.1</w:t>
      </w:r>
      <w:r w:rsidR="00306800">
        <w:t xml:space="preserve"> </w:t>
      </w:r>
      <w:r w:rsidR="0058494D">
        <w:t xml:space="preserve">M </w:t>
      </w:r>
      <w:proofErr w:type="spellStart"/>
      <w:r w:rsidR="0058494D">
        <w:t>HCl</w:t>
      </w:r>
      <w:proofErr w:type="spellEnd"/>
      <w:r w:rsidR="0058494D">
        <w:t xml:space="preserve"> at concentrations </w:t>
      </w:r>
      <w:r w:rsidR="00306800">
        <w:t>ranging from</w:t>
      </w:r>
      <w:r w:rsidR="0058494D">
        <w:t xml:space="preserve"> </w:t>
      </w:r>
      <w:r w:rsidR="00306800">
        <w:t>100</w:t>
      </w:r>
      <w:r w:rsidR="0058494D">
        <w:t xml:space="preserve"> </w:t>
      </w:r>
      <w:r w:rsidR="00306800">
        <w:t>to</w:t>
      </w:r>
      <w:r w:rsidR="0058494D">
        <w:t xml:space="preserve"> 1</w:t>
      </w:r>
      <w:r w:rsidR="00306800">
        <w:t>000</w:t>
      </w:r>
      <w:r w:rsidR="0058494D">
        <w:t> </w:t>
      </w:r>
      <w:r w:rsidR="00306800">
        <w:t>m</w:t>
      </w:r>
      <w:r w:rsidR="0058494D">
        <w:t>g/L</w:t>
      </w:r>
      <w:r w:rsidR="00102C06">
        <w:t>,</w:t>
      </w:r>
      <w:r w:rsidR="0058494D">
        <w:t xml:space="preserve"> depending on solubility and stability.</w:t>
      </w:r>
      <w:r w:rsidR="00306800">
        <w:t xml:space="preserve"> Then, mix sol</w:t>
      </w:r>
      <w:r w:rsidR="007D65D3">
        <w:t>utions were prepared in ethanol or</w:t>
      </w:r>
      <w:r w:rsidR="00306800">
        <w:t xml:space="preserve"> acetonitrile at 10 mg/L</w:t>
      </w:r>
      <w:r w:rsidR="00102C06">
        <w:t xml:space="preserve"> which were combined for</w:t>
      </w:r>
      <w:r w:rsidR="007D65D3">
        <w:t xml:space="preserve"> the final spike solutions (0.0001, 0.001, 0.01, 0.1 mg/L).</w:t>
      </w:r>
    </w:p>
    <w:p w14:paraId="4F96EDC3" w14:textId="65F7A00F" w:rsidR="007D65D3" w:rsidRDefault="00012FF3" w:rsidP="00306800">
      <w:r w:rsidRPr="00012FF3">
        <w:rPr>
          <w:b/>
        </w:rPr>
        <w:t>Sample preparation:</w:t>
      </w:r>
      <w:r>
        <w:t xml:space="preserve"> </w:t>
      </w:r>
      <w:r w:rsidR="007D65D3">
        <w:t>The g</w:t>
      </w:r>
      <w:r w:rsidR="002E5A76">
        <w:t>roundwater samples were thawed</w:t>
      </w:r>
      <w:r w:rsidR="00E71E1D">
        <w:t xml:space="preserve"> (</w:t>
      </w:r>
      <w:r w:rsidR="007D65D3">
        <w:t xml:space="preserve">pH </w:t>
      </w:r>
      <w:r w:rsidR="00E71E1D">
        <w:t>~7)</w:t>
      </w:r>
      <w:r w:rsidR="007D65D3">
        <w:t>.</w:t>
      </w:r>
      <w:r w:rsidR="006367D3">
        <w:t xml:space="preserve"> The </w:t>
      </w:r>
      <w:proofErr w:type="spellStart"/>
      <w:r w:rsidR="006367D3">
        <w:t>Büchi</w:t>
      </w:r>
      <w:proofErr w:type="spellEnd"/>
      <w:r w:rsidR="006367D3">
        <w:t xml:space="preserve"> vials were rinsed with the sample, then, filled with 60.0 g of the sample.</w:t>
      </w:r>
      <w:r w:rsidR="00296587">
        <w:t xml:space="preserve"> The sample was</w:t>
      </w:r>
      <w:r w:rsidR="006367D3">
        <w:t xml:space="preserve"> spiked with </w:t>
      </w:r>
      <w:r w:rsidR="00E71E1D">
        <w:t xml:space="preserve">60 </w:t>
      </w:r>
      <w:r w:rsidR="00E71E1D">
        <w:rPr>
          <w:rFonts w:cstheme="minorHAnsi"/>
        </w:rPr>
        <w:t>µ</w:t>
      </w:r>
      <w:r w:rsidR="00E71E1D">
        <w:t xml:space="preserve">L </w:t>
      </w:r>
      <w:r w:rsidR="006367D3">
        <w:t xml:space="preserve">isotope labelled internal standard (ILIS) solution (0.1 mg/L) at 100 ng/L. </w:t>
      </w:r>
      <w:r w:rsidR="00296587">
        <w:t>The sample was</w:t>
      </w:r>
      <w:r w:rsidR="002E5A76">
        <w:t xml:space="preserve"> evaporated to 1-5 mL in the </w:t>
      </w:r>
      <w:proofErr w:type="spellStart"/>
      <w:r w:rsidR="002E5A76">
        <w:t>Syncore</w:t>
      </w:r>
      <w:proofErr w:type="spellEnd"/>
      <w:r w:rsidR="002E5A76">
        <w:t xml:space="preserve"> Analyst using the back</w:t>
      </w:r>
      <w:r w:rsidR="00296587">
        <w:t>-</w:t>
      </w:r>
      <w:r w:rsidR="002E5A76">
        <w:t>flush unit at 20 mbar and 45 °C within ~3.5 </w:t>
      </w:r>
      <w:r w:rsidR="00E71E1D">
        <w:t>h</w:t>
      </w:r>
      <w:r w:rsidR="002E5A76">
        <w:t xml:space="preserve">. To reduce </w:t>
      </w:r>
      <w:proofErr w:type="spellStart"/>
      <w:r w:rsidR="002E5A76">
        <w:t>analyte</w:t>
      </w:r>
      <w:proofErr w:type="spellEnd"/>
      <w:r w:rsidR="002E5A76">
        <w:t xml:space="preserve"> losses, the </w:t>
      </w:r>
      <w:proofErr w:type="spellStart"/>
      <w:r w:rsidR="002E5A76">
        <w:t>Büchi</w:t>
      </w:r>
      <w:proofErr w:type="spellEnd"/>
      <w:r w:rsidR="002E5A76">
        <w:t xml:space="preserve"> vials were rinsed with 1.5 mL </w:t>
      </w:r>
      <w:proofErr w:type="spellStart"/>
      <w:r w:rsidR="002E5A76">
        <w:t>methanol</w:t>
      </w:r>
      <w:proofErr w:type="gramStart"/>
      <w:r w:rsidR="002E5A76">
        <w:t>:water</w:t>
      </w:r>
      <w:proofErr w:type="spellEnd"/>
      <w:proofErr w:type="gramEnd"/>
      <w:r w:rsidR="002E5A76">
        <w:t xml:space="preserve"> (15:85)</w:t>
      </w:r>
      <w:r w:rsidR="00296587">
        <w:t>. Then, the sample was</w:t>
      </w:r>
      <w:r w:rsidR="002E5A76">
        <w:t xml:space="preserve"> evaporated to 0.3 mL, and transferred to a 0.5 mL</w:t>
      </w:r>
      <w:r w:rsidR="00102C06">
        <w:t xml:space="preserve"> </w:t>
      </w:r>
      <w:r w:rsidR="002E5A76">
        <w:t>vial. The sample volume was adjusted to 0.4 mL using ultrapure water. After centrifuging (10 000 rpm, 5 min</w:t>
      </w:r>
      <w:r w:rsidR="00E45CA2">
        <w:t>; Eppendorf centrifuge 5415D</w:t>
      </w:r>
      <w:r w:rsidR="002E5A76">
        <w:t xml:space="preserve">) the </w:t>
      </w:r>
      <w:proofErr w:type="spellStart"/>
      <w:r w:rsidR="008C550B">
        <w:t>supernatent</w:t>
      </w:r>
      <w:proofErr w:type="spellEnd"/>
      <w:r w:rsidR="00296587">
        <w:t xml:space="preserve"> was</w:t>
      </w:r>
      <w:r w:rsidR="002E5A76">
        <w:t xml:space="preserve"> transferred to the measurement vial.</w:t>
      </w:r>
    </w:p>
    <w:p w14:paraId="6C2C3920" w14:textId="29AD53CA" w:rsidR="002E5A76" w:rsidRPr="00306800" w:rsidRDefault="005431DB" w:rsidP="00306800">
      <w:r>
        <w:t>For quantification and quality control, 22 calibration standards at eleven concentration levels (0.1, 0.5, 1, 5, 10, 25, 50, 100, 250, 500, 1000 ng/L) prepared in ultrapure water,</w:t>
      </w:r>
      <w:r w:rsidR="002E5A76">
        <w:t xml:space="preserve"> nine </w:t>
      </w:r>
      <w:r w:rsidR="00BA1C8B">
        <w:t>blank</w:t>
      </w:r>
      <w:r w:rsidR="002E5A76">
        <w:t xml:space="preserve"> samples (ultrapure water, either freshly withdrawn from the purifier station or </w:t>
      </w:r>
      <w:r>
        <w:t xml:space="preserve">frozen for several weeks in the laboratory glass bottles) and six groundwater samples spiked at 10 or 100 ng/L were processed analogously to the groundwater samples. X-ray contrast media were spiked 5x higher due to the lower sensitivity. </w:t>
      </w:r>
      <w:proofErr w:type="spellStart"/>
      <w:r>
        <w:t>Perfluorinated</w:t>
      </w:r>
      <w:proofErr w:type="spellEnd"/>
      <w:r>
        <w:t xml:space="preserve"> carbons (PFCs) were calibrated from 0.1 to 50 ng/L. PFC-ILIS were spiked at 1</w:t>
      </w:r>
      <w:r w:rsidR="00874135">
        <w:t>0</w:t>
      </w:r>
      <w:r>
        <w:t> ng/L.</w:t>
      </w:r>
    </w:p>
    <w:p w14:paraId="77987CB4" w14:textId="77777777" w:rsidR="00C618C8" w:rsidRDefault="00C33FD0" w:rsidP="00306800">
      <w:proofErr w:type="spellStart"/>
      <w:r>
        <w:t>Büchi</w:t>
      </w:r>
      <w:proofErr w:type="spellEnd"/>
      <w:r>
        <w:t xml:space="preserve"> vials were c</w:t>
      </w:r>
      <w:r w:rsidR="00012FF3">
        <w:t xml:space="preserve">leaned with diluted </w:t>
      </w:r>
      <w:proofErr w:type="spellStart"/>
      <w:r w:rsidR="00012FF3">
        <w:t>HCl</w:t>
      </w:r>
      <w:proofErr w:type="spellEnd"/>
      <w:r w:rsidR="00012FF3">
        <w:t>, hot tap water, deionised water, ultrapure water and finally methanol.</w:t>
      </w:r>
    </w:p>
    <w:p w14:paraId="2FF4FDCD" w14:textId="6F0E271D" w:rsidR="00102C06" w:rsidRDefault="00012FF3" w:rsidP="00306800">
      <w:r w:rsidRPr="00012FF3">
        <w:rPr>
          <w:b/>
        </w:rPr>
        <w:t>LC-HRMS/MS:</w:t>
      </w:r>
      <w:r>
        <w:rPr>
          <w:b/>
        </w:rPr>
        <w:t xml:space="preserve"> </w:t>
      </w:r>
      <w:r w:rsidR="00462E47">
        <w:t>To cover late-eluting</w:t>
      </w:r>
      <w:r w:rsidR="00E45CA2">
        <w:t xml:space="preserve"> </w:t>
      </w:r>
      <w:r w:rsidR="00E45CA2" w:rsidRPr="00E45CA2">
        <w:t>perfluorocarbons</w:t>
      </w:r>
      <w:r w:rsidR="00462E47">
        <w:t xml:space="preserve"> </w:t>
      </w:r>
      <w:r w:rsidR="00E45CA2">
        <w:t>(</w:t>
      </w:r>
      <w:r w:rsidR="00462E47">
        <w:t>PFCs</w:t>
      </w:r>
      <w:r w:rsidR="00E45CA2">
        <w:t>)</w:t>
      </w:r>
      <w:r w:rsidR="00462E47">
        <w:t>, the isocratic phase (95% eluent B) was prolonged from 10 to 12 min in negative ionization. In addition, a black carbon cartridge was installed directly after the pump to remove PFCs released from the pump.</w:t>
      </w:r>
    </w:p>
    <w:p w14:paraId="0CFF8889" w14:textId="77777777" w:rsidR="00102C06" w:rsidRDefault="00102C06">
      <w:pPr>
        <w:spacing w:line="276" w:lineRule="auto"/>
        <w:jc w:val="left"/>
      </w:pPr>
      <w:r>
        <w:br w:type="page"/>
      </w:r>
    </w:p>
    <w:p w14:paraId="3A270476" w14:textId="0847EF19" w:rsidR="00462E47" w:rsidRPr="0052173D" w:rsidRDefault="00462E47" w:rsidP="00622B98">
      <w:pPr>
        <w:pStyle w:val="Caption"/>
        <w:rPr>
          <w:lang w:val="it-IT"/>
        </w:rPr>
      </w:pPr>
      <w:proofErr w:type="spellStart"/>
      <w:r w:rsidRPr="0052173D">
        <w:rPr>
          <w:lang w:val="it-IT"/>
        </w:rPr>
        <w:lastRenderedPageBreak/>
        <w:t>Table</w:t>
      </w:r>
      <w:proofErr w:type="spellEnd"/>
      <w:r w:rsidRPr="0052173D">
        <w:rPr>
          <w:lang w:val="it-IT"/>
        </w:rPr>
        <w:t xml:space="preserve"> SI-A </w:t>
      </w:r>
      <w:r w:rsidR="00E9528F">
        <w:rPr>
          <w:lang w:val="it-IT"/>
        </w:rPr>
        <w:fldChar w:fldCharType="begin"/>
      </w:r>
      <w:r w:rsidR="00E9528F">
        <w:rPr>
          <w:lang w:val="it-IT"/>
        </w:rPr>
        <w:instrText xml:space="preserve"> SEQ Table_SI-A \* ARABIC </w:instrText>
      </w:r>
      <w:r w:rsidR="00E9528F">
        <w:rPr>
          <w:lang w:val="it-IT"/>
        </w:rPr>
        <w:fldChar w:fldCharType="separate"/>
      </w:r>
      <w:r w:rsidR="00181B0F">
        <w:rPr>
          <w:noProof/>
          <w:lang w:val="it-IT"/>
        </w:rPr>
        <w:t>1</w:t>
      </w:r>
      <w:r w:rsidR="00E9528F">
        <w:rPr>
          <w:lang w:val="it-IT"/>
        </w:rPr>
        <w:fldChar w:fldCharType="end"/>
      </w:r>
      <w:r w:rsidR="0052173D" w:rsidRPr="0052173D">
        <w:rPr>
          <w:lang w:val="it-IT"/>
        </w:rPr>
        <w:t xml:space="preserve">: ESI-HRMS/MS </w:t>
      </w:r>
      <w:proofErr w:type="spellStart"/>
      <w:r w:rsidR="0052173D" w:rsidRPr="0052173D">
        <w:rPr>
          <w:lang w:val="it-IT"/>
        </w:rPr>
        <w:t>settings</w:t>
      </w:r>
      <w:proofErr w:type="spellEnd"/>
    </w:p>
    <w:tbl>
      <w:tblPr>
        <w:tblStyle w:val="TableGrid"/>
        <w:tblW w:w="0" w:type="auto"/>
        <w:tblBorders>
          <w:insideV w:val="none" w:sz="0" w:space="0" w:color="auto"/>
        </w:tblBorders>
        <w:tblLook w:val="04A0" w:firstRow="1" w:lastRow="0" w:firstColumn="1" w:lastColumn="0" w:noHBand="0" w:noVBand="1"/>
      </w:tblPr>
      <w:tblGrid>
        <w:gridCol w:w="4306"/>
        <w:gridCol w:w="4756"/>
      </w:tblGrid>
      <w:tr w:rsidR="00385E9B" w14:paraId="3F3C4702" w14:textId="77777777" w:rsidTr="006E0DD7">
        <w:tc>
          <w:tcPr>
            <w:tcW w:w="4361" w:type="dxa"/>
            <w:shd w:val="clear" w:color="auto" w:fill="F2F2F2" w:themeFill="background1" w:themeFillShade="F2"/>
          </w:tcPr>
          <w:p w14:paraId="05E2EC60" w14:textId="77777777" w:rsidR="00385E9B" w:rsidRDefault="00385E9B" w:rsidP="00306800">
            <w:pPr>
              <w:rPr>
                <w:b/>
              </w:rPr>
            </w:pPr>
            <w:r>
              <w:rPr>
                <w:b/>
              </w:rPr>
              <w:t>Parameter</w:t>
            </w:r>
          </w:p>
          <w:p w14:paraId="6D92D99E" w14:textId="77777777" w:rsidR="00385E9B" w:rsidRDefault="00385E9B" w:rsidP="00306800">
            <w:pPr>
              <w:rPr>
                <w:b/>
              </w:rPr>
            </w:pPr>
          </w:p>
        </w:tc>
        <w:tc>
          <w:tcPr>
            <w:tcW w:w="4819" w:type="dxa"/>
            <w:shd w:val="clear" w:color="auto" w:fill="F2F2F2" w:themeFill="background1" w:themeFillShade="F2"/>
          </w:tcPr>
          <w:p w14:paraId="35B36BD3" w14:textId="77777777" w:rsidR="00385E9B" w:rsidRDefault="00385E9B" w:rsidP="00306800">
            <w:pPr>
              <w:rPr>
                <w:b/>
              </w:rPr>
            </w:pPr>
          </w:p>
        </w:tc>
      </w:tr>
      <w:tr w:rsidR="00385E9B" w14:paraId="65FA7473" w14:textId="77777777" w:rsidTr="006E0DD7">
        <w:tc>
          <w:tcPr>
            <w:tcW w:w="4361" w:type="dxa"/>
          </w:tcPr>
          <w:p w14:paraId="067CEAE7" w14:textId="77777777" w:rsidR="00385E9B" w:rsidRPr="00F30A8E" w:rsidRDefault="00385E9B" w:rsidP="00306800">
            <w:r w:rsidRPr="00F30A8E">
              <w:t>Spray voltage (kV)</w:t>
            </w:r>
          </w:p>
        </w:tc>
        <w:tc>
          <w:tcPr>
            <w:tcW w:w="4819" w:type="dxa"/>
          </w:tcPr>
          <w:p w14:paraId="014C44DD" w14:textId="77777777" w:rsidR="00385E9B" w:rsidRPr="00F30A8E" w:rsidRDefault="00385E9B" w:rsidP="00306800">
            <w:r>
              <w:t xml:space="preserve">4 / </w:t>
            </w:r>
            <w:r w:rsidRPr="00F30A8E">
              <w:t>-3</w:t>
            </w:r>
          </w:p>
        </w:tc>
      </w:tr>
      <w:tr w:rsidR="00385E9B" w14:paraId="78269DC8" w14:textId="77777777" w:rsidTr="006E0DD7">
        <w:tc>
          <w:tcPr>
            <w:tcW w:w="4361" w:type="dxa"/>
          </w:tcPr>
          <w:p w14:paraId="54525963" w14:textId="77777777" w:rsidR="00385E9B" w:rsidRPr="00F30A8E" w:rsidRDefault="00385E9B" w:rsidP="00306800">
            <w:r w:rsidRPr="00F30A8E">
              <w:t>Capillary temperature (°C)</w:t>
            </w:r>
          </w:p>
        </w:tc>
        <w:tc>
          <w:tcPr>
            <w:tcW w:w="4819" w:type="dxa"/>
          </w:tcPr>
          <w:p w14:paraId="763C08B2" w14:textId="77777777" w:rsidR="00385E9B" w:rsidRPr="00F30A8E" w:rsidRDefault="00385E9B" w:rsidP="00306800">
            <w:r>
              <w:t>320</w:t>
            </w:r>
          </w:p>
        </w:tc>
      </w:tr>
      <w:tr w:rsidR="00385E9B" w14:paraId="533E8FCB" w14:textId="77777777" w:rsidTr="006E0DD7">
        <w:tc>
          <w:tcPr>
            <w:tcW w:w="4361" w:type="dxa"/>
          </w:tcPr>
          <w:p w14:paraId="7C7FEB14" w14:textId="77777777" w:rsidR="00385E9B" w:rsidRPr="00F30A8E" w:rsidRDefault="00385E9B" w:rsidP="00306800">
            <w:r>
              <w:t>Sheath gas (AU)</w:t>
            </w:r>
          </w:p>
        </w:tc>
        <w:tc>
          <w:tcPr>
            <w:tcW w:w="4819" w:type="dxa"/>
          </w:tcPr>
          <w:p w14:paraId="526A4DFC" w14:textId="77777777" w:rsidR="00385E9B" w:rsidRPr="00F30A8E" w:rsidRDefault="00385E9B" w:rsidP="00306800">
            <w:r>
              <w:t>40</w:t>
            </w:r>
          </w:p>
        </w:tc>
      </w:tr>
      <w:tr w:rsidR="00385E9B" w14:paraId="5140F1B1" w14:textId="77777777" w:rsidTr="006E0DD7">
        <w:tc>
          <w:tcPr>
            <w:tcW w:w="4361" w:type="dxa"/>
          </w:tcPr>
          <w:p w14:paraId="221F3105" w14:textId="5C4B6477" w:rsidR="00385E9B" w:rsidRPr="00F30A8E" w:rsidRDefault="00385E9B" w:rsidP="00102C06">
            <w:r>
              <w:t>Aux</w:t>
            </w:r>
            <w:r w:rsidR="00102C06">
              <w:t>iliary</w:t>
            </w:r>
            <w:r>
              <w:t xml:space="preserve"> gas (AU)</w:t>
            </w:r>
          </w:p>
        </w:tc>
        <w:tc>
          <w:tcPr>
            <w:tcW w:w="4819" w:type="dxa"/>
          </w:tcPr>
          <w:p w14:paraId="21A8513A" w14:textId="77777777" w:rsidR="00385E9B" w:rsidRPr="00F30A8E" w:rsidRDefault="00385E9B" w:rsidP="00306800">
            <w:r>
              <w:t>10</w:t>
            </w:r>
          </w:p>
        </w:tc>
      </w:tr>
      <w:tr w:rsidR="00385E9B" w14:paraId="5D6D1A52" w14:textId="77777777" w:rsidTr="006E0DD7">
        <w:tc>
          <w:tcPr>
            <w:tcW w:w="4361" w:type="dxa"/>
          </w:tcPr>
          <w:p w14:paraId="4384E20D" w14:textId="77777777" w:rsidR="00385E9B" w:rsidRPr="00F30A8E" w:rsidRDefault="00385E9B" w:rsidP="00306800">
            <w:r>
              <w:t>S-lens RF level (AU)</w:t>
            </w:r>
          </w:p>
        </w:tc>
        <w:tc>
          <w:tcPr>
            <w:tcW w:w="4819" w:type="dxa"/>
          </w:tcPr>
          <w:p w14:paraId="5BE0E2E4" w14:textId="77777777" w:rsidR="00385E9B" w:rsidRPr="00F30A8E" w:rsidRDefault="00385E9B" w:rsidP="00306800">
            <w:r>
              <w:t>50</w:t>
            </w:r>
          </w:p>
        </w:tc>
      </w:tr>
      <w:tr w:rsidR="00385E9B" w14:paraId="74EB412D" w14:textId="77777777" w:rsidTr="006E0DD7">
        <w:tc>
          <w:tcPr>
            <w:tcW w:w="4361" w:type="dxa"/>
          </w:tcPr>
          <w:p w14:paraId="3D979F4B" w14:textId="77777777" w:rsidR="00385E9B" w:rsidRPr="00F30A8E" w:rsidRDefault="00385E9B" w:rsidP="00306800">
            <w:r>
              <w:t>Automatic gain control (AGC) target MS1</w:t>
            </w:r>
          </w:p>
        </w:tc>
        <w:tc>
          <w:tcPr>
            <w:tcW w:w="4819" w:type="dxa"/>
          </w:tcPr>
          <w:p w14:paraId="7CC6E279" w14:textId="77777777" w:rsidR="00385E9B" w:rsidRPr="00F30A8E" w:rsidRDefault="00385E9B" w:rsidP="00306800">
            <w:r>
              <w:t>10</w:t>
            </w:r>
            <w:r>
              <w:rPr>
                <w:vertAlign w:val="superscript"/>
              </w:rPr>
              <w:t>6</w:t>
            </w:r>
          </w:p>
        </w:tc>
      </w:tr>
      <w:tr w:rsidR="00385E9B" w14:paraId="211921A4" w14:textId="77777777" w:rsidTr="006E0DD7">
        <w:tc>
          <w:tcPr>
            <w:tcW w:w="4361" w:type="dxa"/>
          </w:tcPr>
          <w:p w14:paraId="00305A0E" w14:textId="77777777" w:rsidR="00385E9B" w:rsidRDefault="00385E9B" w:rsidP="00306800">
            <w:r>
              <w:t>Maximum injection time MS1 (</w:t>
            </w:r>
            <w:proofErr w:type="spellStart"/>
            <w:r>
              <w:t>ms</w:t>
            </w:r>
            <w:proofErr w:type="spellEnd"/>
            <w:r>
              <w:t>)</w:t>
            </w:r>
          </w:p>
        </w:tc>
        <w:tc>
          <w:tcPr>
            <w:tcW w:w="4819" w:type="dxa"/>
          </w:tcPr>
          <w:p w14:paraId="59FB848E" w14:textId="77777777" w:rsidR="00385E9B" w:rsidRDefault="00385E9B" w:rsidP="00306800">
            <w:r>
              <w:t>100</w:t>
            </w:r>
          </w:p>
        </w:tc>
      </w:tr>
      <w:tr w:rsidR="00385E9B" w14:paraId="27A54ACA" w14:textId="77777777" w:rsidTr="006E0DD7">
        <w:tc>
          <w:tcPr>
            <w:tcW w:w="4361" w:type="dxa"/>
          </w:tcPr>
          <w:p w14:paraId="5C2C6193" w14:textId="77777777" w:rsidR="00385E9B" w:rsidRPr="00F30A8E" w:rsidRDefault="00385E9B" w:rsidP="00306800">
            <w:r>
              <w:t>Scan range MS1 (m/z)</w:t>
            </w:r>
          </w:p>
        </w:tc>
        <w:tc>
          <w:tcPr>
            <w:tcW w:w="4819" w:type="dxa"/>
          </w:tcPr>
          <w:p w14:paraId="2DA82BCE" w14:textId="535A0790" w:rsidR="00385E9B" w:rsidRPr="00F30A8E" w:rsidRDefault="00385E9B" w:rsidP="00306800">
            <w:r>
              <w:t>100 -</w:t>
            </w:r>
            <w:r w:rsidR="00102C06">
              <w:t xml:space="preserve"> </w:t>
            </w:r>
            <w:r>
              <w:t>1000</w:t>
            </w:r>
          </w:p>
        </w:tc>
      </w:tr>
      <w:tr w:rsidR="00385E9B" w14:paraId="7138371A" w14:textId="77777777" w:rsidTr="006E0DD7">
        <w:tc>
          <w:tcPr>
            <w:tcW w:w="4361" w:type="dxa"/>
          </w:tcPr>
          <w:p w14:paraId="0B32EFC4" w14:textId="77777777" w:rsidR="00385E9B" w:rsidRDefault="00385E9B" w:rsidP="00306800">
            <w:r>
              <w:t>Resolution MS1 (at m/z 200)</w:t>
            </w:r>
          </w:p>
        </w:tc>
        <w:tc>
          <w:tcPr>
            <w:tcW w:w="4819" w:type="dxa"/>
          </w:tcPr>
          <w:p w14:paraId="3C24F783" w14:textId="77777777" w:rsidR="00385E9B" w:rsidRDefault="00385E9B" w:rsidP="00306800">
            <w:r>
              <w:t>140 000</w:t>
            </w:r>
          </w:p>
        </w:tc>
      </w:tr>
      <w:tr w:rsidR="00385E9B" w14:paraId="1927ED72" w14:textId="77777777" w:rsidTr="006E0DD7">
        <w:tc>
          <w:tcPr>
            <w:tcW w:w="4361" w:type="dxa"/>
          </w:tcPr>
          <w:p w14:paraId="14A6CA79" w14:textId="77777777" w:rsidR="00385E9B" w:rsidRDefault="00385E9B" w:rsidP="00385E9B">
            <w:r>
              <w:t>Data-dependent trigger</w:t>
            </w:r>
          </w:p>
        </w:tc>
        <w:tc>
          <w:tcPr>
            <w:tcW w:w="4819" w:type="dxa"/>
          </w:tcPr>
          <w:p w14:paraId="5DB23855" w14:textId="745E51EB" w:rsidR="00385E9B" w:rsidRDefault="00385E9B" w:rsidP="00FC2CE8">
            <w:r>
              <w:t xml:space="preserve">Ions of target compounds; if idle pick </w:t>
            </w:r>
            <w:r w:rsidR="00FC2CE8">
              <w:t>most intense</w:t>
            </w:r>
          </w:p>
        </w:tc>
      </w:tr>
      <w:tr w:rsidR="00385E9B" w14:paraId="300B51C0" w14:textId="77777777" w:rsidTr="006E0DD7">
        <w:tc>
          <w:tcPr>
            <w:tcW w:w="4361" w:type="dxa"/>
          </w:tcPr>
          <w:p w14:paraId="2BCCFCB7" w14:textId="77777777" w:rsidR="00385E9B" w:rsidRDefault="00385E9B" w:rsidP="00385E9B">
            <w:r>
              <w:t>Isolation window (m/z)</w:t>
            </w:r>
          </w:p>
        </w:tc>
        <w:tc>
          <w:tcPr>
            <w:tcW w:w="4819" w:type="dxa"/>
          </w:tcPr>
          <w:p w14:paraId="7207CB33" w14:textId="77777777" w:rsidR="00385E9B" w:rsidRDefault="00385E9B" w:rsidP="00306800">
            <w:r>
              <w:t>1</w:t>
            </w:r>
          </w:p>
        </w:tc>
      </w:tr>
      <w:tr w:rsidR="00385E9B" w14:paraId="7A2C7F7A" w14:textId="77777777" w:rsidTr="006E0DD7">
        <w:tc>
          <w:tcPr>
            <w:tcW w:w="4361" w:type="dxa"/>
          </w:tcPr>
          <w:p w14:paraId="3D4BEDB8" w14:textId="77777777" w:rsidR="00385E9B" w:rsidRDefault="00385E9B" w:rsidP="00306800">
            <w:r>
              <w:t xml:space="preserve">Number of </w:t>
            </w:r>
            <w:proofErr w:type="spellStart"/>
            <w:r>
              <w:t>dd</w:t>
            </w:r>
            <w:proofErr w:type="spellEnd"/>
            <w:r>
              <w:t>-MS/MS</w:t>
            </w:r>
          </w:p>
        </w:tc>
        <w:tc>
          <w:tcPr>
            <w:tcW w:w="4819" w:type="dxa"/>
          </w:tcPr>
          <w:p w14:paraId="24EB83D0" w14:textId="77777777" w:rsidR="00385E9B" w:rsidRDefault="00385E9B" w:rsidP="00306800">
            <w:r>
              <w:t>Top 5</w:t>
            </w:r>
          </w:p>
        </w:tc>
      </w:tr>
      <w:tr w:rsidR="00385E9B" w14:paraId="5710D358" w14:textId="77777777" w:rsidTr="006E0DD7">
        <w:tc>
          <w:tcPr>
            <w:tcW w:w="4361" w:type="dxa"/>
          </w:tcPr>
          <w:p w14:paraId="18235F03" w14:textId="77777777" w:rsidR="00385E9B" w:rsidRDefault="00385E9B" w:rsidP="00306800">
            <w:r>
              <w:t>Resolution MS2 (at m/z 200)</w:t>
            </w:r>
          </w:p>
        </w:tc>
        <w:tc>
          <w:tcPr>
            <w:tcW w:w="4819" w:type="dxa"/>
          </w:tcPr>
          <w:p w14:paraId="2000BAF4" w14:textId="77777777" w:rsidR="00385E9B" w:rsidRDefault="00385E9B" w:rsidP="00306800">
            <w:r>
              <w:t>17 500</w:t>
            </w:r>
          </w:p>
        </w:tc>
      </w:tr>
      <w:tr w:rsidR="00385E9B" w14:paraId="197B42B0" w14:textId="77777777" w:rsidTr="006E0DD7">
        <w:tc>
          <w:tcPr>
            <w:tcW w:w="4361" w:type="dxa"/>
          </w:tcPr>
          <w:p w14:paraId="3B88B35B" w14:textId="77777777" w:rsidR="00385E9B" w:rsidRDefault="00385E9B" w:rsidP="00306800">
            <w:r>
              <w:t>Automatic gain control (AGC) target MS/MS</w:t>
            </w:r>
          </w:p>
        </w:tc>
        <w:tc>
          <w:tcPr>
            <w:tcW w:w="4819" w:type="dxa"/>
          </w:tcPr>
          <w:p w14:paraId="0655827A" w14:textId="77777777" w:rsidR="00385E9B" w:rsidRDefault="00385E9B" w:rsidP="00306800">
            <w:r>
              <w:t>2</w:t>
            </w:r>
            <w:r w:rsidR="00FC2CE8">
              <w:t xml:space="preserve"> x</w:t>
            </w:r>
            <w:r>
              <w:t xml:space="preserve"> 10</w:t>
            </w:r>
            <w:r w:rsidRPr="00385E9B">
              <w:rPr>
                <w:vertAlign w:val="superscript"/>
              </w:rPr>
              <w:t>5</w:t>
            </w:r>
          </w:p>
        </w:tc>
      </w:tr>
      <w:tr w:rsidR="00385E9B" w14:paraId="36068B76" w14:textId="77777777" w:rsidTr="006E0DD7">
        <w:tc>
          <w:tcPr>
            <w:tcW w:w="4361" w:type="dxa"/>
          </w:tcPr>
          <w:p w14:paraId="28BA0E8A" w14:textId="77777777" w:rsidR="00385E9B" w:rsidRDefault="00385E9B" w:rsidP="00385E9B">
            <w:r>
              <w:t>Maximum injection time MS/MS (</w:t>
            </w:r>
            <w:proofErr w:type="spellStart"/>
            <w:r>
              <w:t>ms</w:t>
            </w:r>
            <w:proofErr w:type="spellEnd"/>
            <w:r>
              <w:t>)</w:t>
            </w:r>
          </w:p>
        </w:tc>
        <w:tc>
          <w:tcPr>
            <w:tcW w:w="4819" w:type="dxa"/>
          </w:tcPr>
          <w:p w14:paraId="04CC8B3E" w14:textId="77777777" w:rsidR="00385E9B" w:rsidRDefault="00385E9B" w:rsidP="00306800">
            <w:r>
              <w:t>80</w:t>
            </w:r>
          </w:p>
        </w:tc>
      </w:tr>
      <w:tr w:rsidR="00800649" w14:paraId="797E23BB" w14:textId="77777777" w:rsidTr="006E0DD7">
        <w:tc>
          <w:tcPr>
            <w:tcW w:w="4361" w:type="dxa"/>
          </w:tcPr>
          <w:p w14:paraId="342101B7" w14:textId="77777777" w:rsidR="00800649" w:rsidRDefault="00800649" w:rsidP="00385E9B">
            <w:r>
              <w:t>Dynamic exclusion time (s)</w:t>
            </w:r>
          </w:p>
        </w:tc>
        <w:tc>
          <w:tcPr>
            <w:tcW w:w="4819" w:type="dxa"/>
          </w:tcPr>
          <w:p w14:paraId="714B86C5" w14:textId="77777777" w:rsidR="00800649" w:rsidRDefault="00800649" w:rsidP="00306800">
            <w:r>
              <w:t>8</w:t>
            </w:r>
          </w:p>
        </w:tc>
      </w:tr>
    </w:tbl>
    <w:p w14:paraId="772DB9FC" w14:textId="77777777" w:rsidR="00462E47" w:rsidRDefault="00462E47" w:rsidP="00306800">
      <w:pPr>
        <w:rPr>
          <w:b/>
        </w:rPr>
      </w:pPr>
    </w:p>
    <w:p w14:paraId="3044FEE5" w14:textId="22D0A2D8" w:rsidR="00C23AB0" w:rsidRDefault="00C23AB0" w:rsidP="00622B98">
      <w:pPr>
        <w:pStyle w:val="Heading1"/>
      </w:pPr>
      <w:bookmarkStart w:id="3" w:name="_Toc12624282"/>
      <w:r w:rsidRPr="0056485F">
        <w:t xml:space="preserve">SI-A </w:t>
      </w:r>
      <w:r w:rsidRPr="00BF28C8">
        <w:fldChar w:fldCharType="begin"/>
      </w:r>
      <w:r w:rsidRPr="0056485F">
        <w:instrText xml:space="preserve"> SEQ SI-A \* ARABIC </w:instrText>
      </w:r>
      <w:r w:rsidRPr="00BF28C8">
        <w:fldChar w:fldCharType="separate"/>
      </w:r>
      <w:r w:rsidR="00181B0F">
        <w:rPr>
          <w:noProof/>
        </w:rPr>
        <w:t>2</w:t>
      </w:r>
      <w:r w:rsidRPr="00BF28C8">
        <w:fldChar w:fldCharType="end"/>
      </w:r>
      <w:r w:rsidRPr="0056485F">
        <w:t xml:space="preserve">: </w:t>
      </w:r>
      <w:r w:rsidR="00331179">
        <w:t xml:space="preserve">Target </w:t>
      </w:r>
      <w:r>
        <w:t>Quantification</w:t>
      </w:r>
      <w:bookmarkEnd w:id="3"/>
    </w:p>
    <w:p w14:paraId="2283EC59" w14:textId="3903EEB8" w:rsidR="00B918DD" w:rsidRDefault="00A16D0C" w:rsidP="001737AB">
      <w:pPr>
        <w:rPr>
          <w:rStyle w:val="pl-en"/>
        </w:rPr>
      </w:pPr>
      <w:r w:rsidRPr="00A16D0C">
        <w:rPr>
          <w:b/>
        </w:rPr>
        <w:t>ILIS Selection:</w:t>
      </w:r>
      <w:r>
        <w:rPr>
          <w:b/>
        </w:rPr>
        <w:t xml:space="preserve"> </w:t>
      </w:r>
      <w:r w:rsidR="001737AB">
        <w:t xml:space="preserve">Quantification was based on the peak area ratio of </w:t>
      </w:r>
      <w:proofErr w:type="spellStart"/>
      <w:r w:rsidR="001737AB">
        <w:t>analyte</w:t>
      </w:r>
      <w:proofErr w:type="spellEnd"/>
      <w:r w:rsidR="001737AB">
        <w:t xml:space="preserve"> and ILIS. If a structurally identical ILIS was not available, ILIS selection was supported by an internal R script</w:t>
      </w:r>
      <w:r w:rsidR="00CF5535">
        <w:t xml:space="preserve"> using the R functions published at </w:t>
      </w:r>
      <w:hyperlink r:id="rId9" w:history="1">
        <w:r w:rsidR="00CF5535" w:rsidRPr="00220E3D">
          <w:rPr>
            <w:rStyle w:val="Hyperlink"/>
          </w:rPr>
          <w:t>https://github.com/dutchjes/TFAnalyzeR/blob/master/RelativeRecoveryCalculation.R</w:t>
        </w:r>
      </w:hyperlink>
      <w:r w:rsidR="001737AB">
        <w:t>.</w:t>
      </w:r>
      <w:r w:rsidR="00E0002C">
        <w:t xml:space="preserve"> </w:t>
      </w:r>
      <w:r w:rsidR="00CF5535">
        <w:br/>
      </w:r>
      <w:r w:rsidR="00E0002C">
        <w:t xml:space="preserve">First, </w:t>
      </w:r>
      <w:r w:rsidR="008C550B">
        <w:t xml:space="preserve">the </w:t>
      </w:r>
      <w:proofErr w:type="spellStart"/>
      <w:r w:rsidR="00E0002C">
        <w:t>TraceFinder</w:t>
      </w:r>
      <w:proofErr w:type="spellEnd"/>
      <w:r w:rsidR="00E0002C">
        <w:t xml:space="preserve"> 4.1 </w:t>
      </w:r>
      <w:r w:rsidR="008C550B">
        <w:t>export</w:t>
      </w:r>
      <w:r w:rsidR="005A1AB0">
        <w:t xml:space="preserve"> was</w:t>
      </w:r>
      <w:r w:rsidR="00E0002C">
        <w:t xml:space="preserve"> imported</w:t>
      </w:r>
      <w:r w:rsidR="008C550B">
        <w:t xml:space="preserve"> to R</w:t>
      </w:r>
      <w:r w:rsidR="00E0002C">
        <w:t xml:space="preserve"> </w:t>
      </w:r>
      <w:r w:rsidR="00102C06">
        <w:fldChar w:fldCharType="begin"/>
      </w:r>
      <w:r w:rsidR="00102C06">
        <w:instrText xml:space="preserve"> ADDIN EN.CITE &lt;EndNote&gt;&lt;Cite&gt;&lt;Author&gt;R Core Team&lt;/Author&gt;&lt;Year&gt;2016&lt;/Year&gt;&lt;RecNum&gt;164&lt;/RecNum&gt;&lt;DisplayText&gt;(R Core Team 2016)&lt;/DisplayText&gt;&lt;record&gt;&lt;rec-number&gt;164&lt;/rec-number&gt;&lt;foreign-keys&gt;&lt;key app="EN" db-id="5txd5e0ztarddres5a15522yswtpasezvzvx" timestamp="1489745103"&gt;164&lt;/key&gt;&lt;/foreign-keys&gt;&lt;ref-type name="Computer Program"&gt;9&lt;/ref-type&gt;&lt;contributors&gt;&lt;authors&gt;&lt;author&gt;R Core Team,&lt;/author&gt;&lt;/authors&gt;&lt;/contributors&gt;&lt;titles&gt;&lt;title&gt;R: A language and environment for statistical computing&lt;/title&gt;&lt;/titles&gt;&lt;dates&gt;&lt;year&gt;2016&lt;/year&gt;&lt;/dates&gt;&lt;publisher&gt;R Foundation for Statistical Computing, Vienna, Austria&lt;/publisher&gt;&lt;urls&gt;&lt;related-urls&gt;&lt;url&gt;&lt;style face="underline" font="default" size="100%"&gt;https://www.R-project.org/&lt;/style&gt;&lt;/url&gt;&lt;/related-urls&gt;&lt;/urls&gt;&lt;/record&gt;&lt;/Cite&gt;&lt;/EndNote&gt;</w:instrText>
      </w:r>
      <w:r w:rsidR="00102C06">
        <w:fldChar w:fldCharType="separate"/>
      </w:r>
      <w:r w:rsidR="00102C06">
        <w:rPr>
          <w:noProof/>
        </w:rPr>
        <w:t>(R Core Team 2016)</w:t>
      </w:r>
      <w:r w:rsidR="00102C06">
        <w:fldChar w:fldCharType="end"/>
      </w:r>
      <w:r w:rsidR="00102C06">
        <w:t xml:space="preserve"> </w:t>
      </w:r>
      <w:r w:rsidR="00E0002C">
        <w:t xml:space="preserve">and all ILIS co-eluting with the </w:t>
      </w:r>
      <w:proofErr w:type="spellStart"/>
      <w:r w:rsidR="00E0002C">
        <w:t>analyte</w:t>
      </w:r>
      <w:proofErr w:type="spellEnd"/>
      <w:r w:rsidR="00E0002C">
        <w:t xml:space="preserve"> within the given RT window </w:t>
      </w:r>
      <w:r w:rsidR="00126360">
        <w:t>(</w:t>
      </w:r>
      <w:r w:rsidR="00102C06">
        <w:t>generally</w:t>
      </w:r>
      <w:r w:rsidR="00126360">
        <w:t xml:space="preserve"> ±1.5 min) </w:t>
      </w:r>
      <w:r w:rsidR="005A1AB0">
        <w:t>we</w:t>
      </w:r>
      <w:r w:rsidR="00E0002C">
        <w:t xml:space="preserve">re selected (function </w:t>
      </w:r>
      <w:proofErr w:type="spellStart"/>
      <w:r w:rsidR="00E0002C">
        <w:t>selectISTDs</w:t>
      </w:r>
      <w:proofErr w:type="spellEnd"/>
      <w:r w:rsidR="00E0002C">
        <w:t xml:space="preserve">()). Then, a linear calibration model </w:t>
      </w:r>
      <w:r w:rsidR="005A1AB0">
        <w:t>wa</w:t>
      </w:r>
      <w:r w:rsidR="00E0002C">
        <w:t xml:space="preserve">s calculated for each combination of </w:t>
      </w:r>
      <w:proofErr w:type="spellStart"/>
      <w:r w:rsidR="00E0002C">
        <w:t>analyte</w:t>
      </w:r>
      <w:proofErr w:type="spellEnd"/>
      <w:r w:rsidR="00E0002C">
        <w:t xml:space="preserve"> and ILIS (function </w:t>
      </w:r>
      <w:proofErr w:type="spellStart"/>
      <w:proofErr w:type="gramStart"/>
      <w:r w:rsidR="00E0002C">
        <w:rPr>
          <w:rStyle w:val="pl-en"/>
        </w:rPr>
        <w:t>calibrationCalc</w:t>
      </w:r>
      <w:proofErr w:type="spellEnd"/>
      <w:r w:rsidR="00E0002C">
        <w:rPr>
          <w:rStyle w:val="pl-en"/>
        </w:rPr>
        <w:t>(</w:t>
      </w:r>
      <w:proofErr w:type="gramEnd"/>
      <w:r w:rsidR="00E0002C">
        <w:rPr>
          <w:rStyle w:val="pl-en"/>
        </w:rPr>
        <w:t>))</w:t>
      </w:r>
      <w:r w:rsidR="00CF5535">
        <w:rPr>
          <w:rStyle w:val="pl-en"/>
        </w:rPr>
        <w:t>,</w:t>
      </w:r>
      <w:r w:rsidR="00E0002C">
        <w:rPr>
          <w:rStyle w:val="pl-en"/>
        </w:rPr>
        <w:t xml:space="preserve"> and finally</w:t>
      </w:r>
      <w:r w:rsidR="00CF5535">
        <w:rPr>
          <w:rStyle w:val="pl-en"/>
        </w:rPr>
        <w:t>,</w:t>
      </w:r>
      <w:r w:rsidR="00E0002C">
        <w:rPr>
          <w:rStyle w:val="pl-en"/>
        </w:rPr>
        <w:t xml:space="preserve"> </w:t>
      </w:r>
      <w:r w:rsidR="00CF5535">
        <w:rPr>
          <w:rStyle w:val="pl-en"/>
        </w:rPr>
        <w:t xml:space="preserve">sample </w:t>
      </w:r>
      <w:r w:rsidR="00E0002C">
        <w:rPr>
          <w:rStyle w:val="pl-en"/>
        </w:rPr>
        <w:t xml:space="preserve">concentrations </w:t>
      </w:r>
      <w:r w:rsidR="005A1AB0">
        <w:rPr>
          <w:rStyle w:val="pl-en"/>
        </w:rPr>
        <w:t>we</w:t>
      </w:r>
      <w:r w:rsidR="00E0002C">
        <w:rPr>
          <w:rStyle w:val="pl-en"/>
        </w:rPr>
        <w:t xml:space="preserve">re </w:t>
      </w:r>
      <w:r w:rsidR="00CF5535">
        <w:rPr>
          <w:rStyle w:val="pl-en"/>
        </w:rPr>
        <w:t>determined</w:t>
      </w:r>
      <w:r w:rsidR="00E0002C">
        <w:rPr>
          <w:rStyle w:val="pl-en"/>
        </w:rPr>
        <w:t xml:space="preserve"> based on each calibration model (function </w:t>
      </w:r>
      <w:proofErr w:type="spellStart"/>
      <w:r w:rsidR="00E0002C">
        <w:rPr>
          <w:rStyle w:val="pl-en"/>
        </w:rPr>
        <w:t>predictConc</w:t>
      </w:r>
      <w:proofErr w:type="spellEnd"/>
      <w:r w:rsidR="00E0002C">
        <w:rPr>
          <w:rStyle w:val="pl-en"/>
        </w:rPr>
        <w:t>()).</w:t>
      </w:r>
      <w:r w:rsidR="005A1AB0">
        <w:rPr>
          <w:rStyle w:val="pl-en"/>
        </w:rPr>
        <w:t xml:space="preserve"> Using the concentration </w:t>
      </w:r>
      <w:r w:rsidR="005A1AB0" w:rsidRPr="00B55D80">
        <w:rPr>
          <w:rStyle w:val="pl-en"/>
          <w:i/>
        </w:rPr>
        <w:t>c</w:t>
      </w:r>
      <w:r w:rsidR="005A1AB0">
        <w:rPr>
          <w:rStyle w:val="pl-en"/>
        </w:rPr>
        <w:t xml:space="preserve"> </w:t>
      </w:r>
      <w:r w:rsidR="00CF5535">
        <w:rPr>
          <w:rStyle w:val="pl-en"/>
        </w:rPr>
        <w:t xml:space="preserve">in the spiked / not spiked samples and the </w:t>
      </w:r>
      <w:r w:rsidR="005A1AB0">
        <w:rPr>
          <w:rStyle w:val="pl-en"/>
        </w:rPr>
        <w:t xml:space="preserve">theoretical </w:t>
      </w:r>
      <w:r w:rsidR="00CF5535">
        <w:rPr>
          <w:rStyle w:val="pl-en"/>
        </w:rPr>
        <w:t>spike level, relative recoveries</w:t>
      </w:r>
      <w:r w:rsidR="00B918DD">
        <w:rPr>
          <w:rStyle w:val="pl-en"/>
        </w:rPr>
        <w:t xml:space="preserve"> as defined in equation 1</w:t>
      </w:r>
      <w:r w:rsidR="00532B1C">
        <w:rPr>
          <w:rStyle w:val="pl-en"/>
        </w:rPr>
        <w:t xml:space="preserve"> were calculated,</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8"/>
        <w:gridCol w:w="709"/>
      </w:tblGrid>
      <w:tr w:rsidR="005A1AB0" w14:paraId="1E0AEE1A" w14:textId="77777777" w:rsidTr="00F5253C">
        <w:tc>
          <w:tcPr>
            <w:tcW w:w="675" w:type="dxa"/>
          </w:tcPr>
          <w:p w14:paraId="722639F1" w14:textId="77777777" w:rsidR="005A1AB0" w:rsidRDefault="005A1AB0" w:rsidP="00F5253C">
            <w:pPr>
              <w:rPr>
                <w:rStyle w:val="pl-en"/>
              </w:rPr>
            </w:pPr>
          </w:p>
          <w:p w14:paraId="3F89D3CD" w14:textId="77777777" w:rsidR="005A1AB0" w:rsidRDefault="005A1AB0" w:rsidP="00F5253C">
            <w:pPr>
              <w:rPr>
                <w:rStyle w:val="pl-en"/>
              </w:rPr>
            </w:pPr>
          </w:p>
        </w:tc>
        <w:tc>
          <w:tcPr>
            <w:tcW w:w="7938" w:type="dxa"/>
          </w:tcPr>
          <w:p w14:paraId="258F460D" w14:textId="4F81E84C" w:rsidR="005A1AB0" w:rsidRDefault="005A1AB0" w:rsidP="005A1AB0">
            <w:pPr>
              <w:rPr>
                <w:rStyle w:val="pl-en"/>
              </w:rPr>
            </w:pPr>
            <m:oMathPara>
              <m:oMath>
                <m:r>
                  <w:rPr>
                    <w:rFonts w:ascii="Cambria Math" w:hAnsi="Cambria Math"/>
                  </w:rPr>
                  <m:t>Relative Recovery=</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spiked sample</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not spiked sample</m:t>
                            </m:r>
                          </m:sub>
                        </m:sSub>
                      </m:e>
                    </m:d>
                  </m:num>
                  <m:den>
                    <m:r>
                      <w:rPr>
                        <w:rFonts w:ascii="Cambria Math" w:hAnsi="Cambria Math"/>
                      </w:rPr>
                      <m:t>Theoretical Spike Level</m:t>
                    </m:r>
                  </m:den>
                </m:f>
              </m:oMath>
            </m:oMathPara>
          </w:p>
        </w:tc>
        <w:tc>
          <w:tcPr>
            <w:tcW w:w="709" w:type="dxa"/>
          </w:tcPr>
          <w:p w14:paraId="047F2DC1" w14:textId="77777777" w:rsidR="005A1AB0" w:rsidRDefault="005A1AB0" w:rsidP="00F5253C">
            <w:pPr>
              <w:jc w:val="right"/>
              <w:rPr>
                <w:rStyle w:val="pl-en"/>
              </w:rPr>
            </w:pPr>
            <w:r>
              <w:rPr>
                <w:rStyle w:val="pl-en"/>
              </w:rPr>
              <w:t>(1)</w:t>
            </w:r>
          </w:p>
        </w:tc>
      </w:tr>
    </w:tbl>
    <w:p w14:paraId="61F364E4" w14:textId="32C90870" w:rsidR="002D6D19" w:rsidRDefault="00CF5535" w:rsidP="001737AB">
      <w:pPr>
        <w:rPr>
          <w:rStyle w:val="pl-en"/>
        </w:rPr>
      </w:pPr>
      <w:proofErr w:type="gramStart"/>
      <w:r>
        <w:rPr>
          <w:rStyle w:val="pl-en"/>
        </w:rPr>
        <w:t>if</w:t>
      </w:r>
      <w:proofErr w:type="gramEnd"/>
      <w:r>
        <w:rPr>
          <w:rStyle w:val="pl-en"/>
        </w:rPr>
        <w:t xml:space="preserve"> </w:t>
      </w:r>
      <w:r w:rsidR="00102C06">
        <w:rPr>
          <w:rStyle w:val="pl-en"/>
        </w:rPr>
        <w:t xml:space="preserve">the </w:t>
      </w:r>
      <w:r>
        <w:rPr>
          <w:rStyle w:val="pl-en"/>
        </w:rPr>
        <w:t xml:space="preserve">following equation </w:t>
      </w:r>
      <w:r w:rsidR="005A1AB0">
        <w:rPr>
          <w:rStyle w:val="pl-en"/>
        </w:rPr>
        <w:t>wa</w:t>
      </w:r>
      <w:r>
        <w:rPr>
          <w:rStyle w:val="pl-en"/>
        </w:rPr>
        <w:t>s true</w:t>
      </w:r>
      <w:r w:rsidR="003F6215">
        <w:rPr>
          <w:rStyle w:val="pl-en"/>
        </w:rPr>
        <w:t xml:space="preserve"> </w:t>
      </w:r>
      <w:r w:rsidR="003F6215">
        <w:t xml:space="preserve">(function </w:t>
      </w:r>
      <w:proofErr w:type="spellStart"/>
      <w:r w:rsidR="003F6215">
        <w:t>recoveryCalc</w:t>
      </w:r>
      <w:proofErr w:type="spellEnd"/>
      <w:r w:rsidR="003F6215">
        <w:t>())</w:t>
      </w:r>
      <w:r>
        <w:rPr>
          <w:rStyle w:val="pl-en"/>
        </w:rPr>
        <w: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8"/>
        <w:gridCol w:w="709"/>
      </w:tblGrid>
      <w:tr w:rsidR="002D6D19" w14:paraId="5D772291" w14:textId="77777777" w:rsidTr="002D6D19">
        <w:tc>
          <w:tcPr>
            <w:tcW w:w="675" w:type="dxa"/>
          </w:tcPr>
          <w:p w14:paraId="51726687" w14:textId="77777777" w:rsidR="002D6D19" w:rsidRDefault="002D6D19" w:rsidP="001737AB">
            <w:pPr>
              <w:rPr>
                <w:rStyle w:val="pl-en"/>
              </w:rPr>
            </w:pPr>
          </w:p>
          <w:p w14:paraId="2CD431DF" w14:textId="77777777" w:rsidR="002D6D19" w:rsidRDefault="002D6D19" w:rsidP="001737AB">
            <w:pPr>
              <w:rPr>
                <w:rStyle w:val="pl-en"/>
              </w:rPr>
            </w:pPr>
          </w:p>
        </w:tc>
        <w:tc>
          <w:tcPr>
            <w:tcW w:w="7938" w:type="dxa"/>
          </w:tcPr>
          <w:p w14:paraId="6389EFE8" w14:textId="77777777" w:rsidR="002D6D19" w:rsidRDefault="00F9759D" w:rsidP="001737AB">
            <w:pPr>
              <w:rPr>
                <w:rStyle w:val="pl-en"/>
              </w:rPr>
            </w:pPr>
            <m:oMathPara>
              <m:oMath>
                <m:sSub>
                  <m:sSubPr>
                    <m:ctrlPr>
                      <w:rPr>
                        <w:rFonts w:ascii="Cambria Math" w:hAnsi="Cambria Math"/>
                        <w:i/>
                      </w:rPr>
                    </m:ctrlPr>
                  </m:sSubPr>
                  <m:e>
                    <m:r>
                      <w:rPr>
                        <w:rFonts w:ascii="Cambria Math" w:hAnsi="Cambria Math"/>
                      </w:rPr>
                      <m:t>c</m:t>
                    </m:r>
                  </m:e>
                  <m:sub>
                    <m:r>
                      <w:rPr>
                        <w:rFonts w:ascii="Cambria Math" w:hAnsi="Cambria Math"/>
                      </w:rPr>
                      <m:t>not spiked sample</m:t>
                    </m:r>
                  </m:sub>
                </m:sSub>
                <m:r>
                  <w:rPr>
                    <w:rFonts w:ascii="Cambria Math" w:hAnsi="Cambria Math"/>
                  </w:rPr>
                  <m:t xml:space="preserve"> &lt;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spiked sample</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not spiked sample</m:t>
                        </m:r>
                      </m:sub>
                    </m:sSub>
                  </m:e>
                </m:d>
                <m:r>
                  <w:rPr>
                    <w:rFonts w:ascii="Cambria Math" w:hAnsi="Cambria Math"/>
                  </w:rPr>
                  <m:t>∙1.7</m:t>
                </m:r>
              </m:oMath>
            </m:oMathPara>
          </w:p>
        </w:tc>
        <w:tc>
          <w:tcPr>
            <w:tcW w:w="709" w:type="dxa"/>
          </w:tcPr>
          <w:p w14:paraId="3DC58474" w14:textId="0495B47E" w:rsidR="002D6D19" w:rsidRDefault="002D6D19" w:rsidP="003F6215">
            <w:pPr>
              <w:jc w:val="right"/>
              <w:rPr>
                <w:rStyle w:val="pl-en"/>
              </w:rPr>
            </w:pPr>
            <w:r>
              <w:rPr>
                <w:rStyle w:val="pl-en"/>
              </w:rPr>
              <w:t>(</w:t>
            </w:r>
            <w:r w:rsidR="003F6215">
              <w:rPr>
                <w:rStyle w:val="pl-en"/>
              </w:rPr>
              <w:t>2</w:t>
            </w:r>
            <w:r>
              <w:rPr>
                <w:rStyle w:val="pl-en"/>
              </w:rPr>
              <w:t>)</w:t>
            </w:r>
          </w:p>
        </w:tc>
      </w:tr>
    </w:tbl>
    <w:p w14:paraId="3E75F901" w14:textId="057C57A1" w:rsidR="002D6D19" w:rsidRDefault="002D6D19" w:rsidP="001737AB">
      <w:r>
        <w:t xml:space="preserve">This </w:t>
      </w:r>
      <w:r w:rsidR="00102C06">
        <w:t xml:space="preserve">check </w:t>
      </w:r>
      <w:r w:rsidR="005A1AB0">
        <w:t>ensured</w:t>
      </w:r>
      <w:r>
        <w:t xml:space="preserve"> that relative recoveries </w:t>
      </w:r>
      <w:r w:rsidR="005A1AB0">
        <w:t>we</w:t>
      </w:r>
      <w:r>
        <w:t>re only determined if the concentration difference in the</w:t>
      </w:r>
      <w:r w:rsidR="005A1AB0">
        <w:t xml:space="preserve"> spiked and not spiked samples wa</w:t>
      </w:r>
      <w:r>
        <w:t>s large enough</w:t>
      </w:r>
      <w:r w:rsidR="00B55D80">
        <w:t>,</w:t>
      </w:r>
      <w:r>
        <w:t xml:space="preserve"> </w:t>
      </w:r>
      <w:r w:rsidR="002C104C">
        <w:t xml:space="preserve">to </w:t>
      </w:r>
      <w:r w:rsidR="005A1AB0">
        <w:t xml:space="preserve">avoid </w:t>
      </w:r>
      <w:r w:rsidR="00B55D80">
        <w:t>cases where the</w:t>
      </w:r>
      <w:r w:rsidR="005A1AB0">
        <w:t xml:space="preserve"> relative recoveries we</w:t>
      </w:r>
      <w:r w:rsidR="002C104C">
        <w:t>re dominated by</w:t>
      </w:r>
      <w:r>
        <w:t xml:space="preserve"> </w:t>
      </w:r>
      <w:r w:rsidR="002C104C">
        <w:t>measurement uncertainty, and therefore, misleading.</w:t>
      </w:r>
      <w:r w:rsidR="005A1AB0">
        <w:t xml:space="preserve"> Finally, an ILIS wa</w:t>
      </w:r>
      <w:r w:rsidR="004700EC">
        <w:t>s selected</w:t>
      </w:r>
      <w:r w:rsidR="006C1C56">
        <w:t xml:space="preserve"> for whi</w:t>
      </w:r>
      <w:r w:rsidR="005A1AB0">
        <w:t>ch the mean relative recovery wa</w:t>
      </w:r>
      <w:r w:rsidR="006C1C56">
        <w:t xml:space="preserve">s close to 100% and the standard deviation of the relative </w:t>
      </w:r>
      <w:r w:rsidR="006C1C56">
        <w:lastRenderedPageBreak/>
        <w:t>recover</w:t>
      </w:r>
      <w:r w:rsidR="005A1AB0">
        <w:t>ies across the spiked samples wa</w:t>
      </w:r>
      <w:r w:rsidR="006C1C56">
        <w:t xml:space="preserve">s low. </w:t>
      </w:r>
      <w:r w:rsidR="00A16D0C">
        <w:t xml:space="preserve">Final </w:t>
      </w:r>
      <w:proofErr w:type="spellStart"/>
      <w:r w:rsidR="008C3E28">
        <w:t>analyte</w:t>
      </w:r>
      <w:proofErr w:type="spellEnd"/>
      <w:r w:rsidR="008C3E28">
        <w:t xml:space="preserve"> </w:t>
      </w:r>
      <w:r w:rsidR="00A16D0C">
        <w:t>concentrations were corrected by the relative recovery, if a structurally identical ILIS was not available.</w:t>
      </w:r>
    </w:p>
    <w:p w14:paraId="66DECEAD" w14:textId="19BB367F" w:rsidR="00A16D0C" w:rsidRDefault="00A16D0C" w:rsidP="00A16D0C">
      <w:r w:rsidRPr="00A16D0C">
        <w:rPr>
          <w:b/>
        </w:rPr>
        <w:t>Limit of Quantification (LOQ):</w:t>
      </w:r>
      <w:r>
        <w:t xml:space="preserve"> The </w:t>
      </w:r>
      <w:r w:rsidR="005B7C0B">
        <w:t>LOQ</w:t>
      </w:r>
      <w:r>
        <w:t xml:space="preserve"> in ultrapure water (</w:t>
      </w:r>
      <w:proofErr w:type="spellStart"/>
      <w:r>
        <w:t>LOQ</w:t>
      </w:r>
      <w:r>
        <w:rPr>
          <w:vertAlign w:val="subscript"/>
        </w:rPr>
        <w:t>Ultrapure</w:t>
      </w:r>
      <w:proofErr w:type="spellEnd"/>
      <w:r>
        <w:t>) was defined as the lowest calibration standard with at least five data points along the chromatographic peak (MS1 full scan mode) and a peak area ratio (</w:t>
      </w:r>
      <w:proofErr w:type="spellStart"/>
      <w:r>
        <w:t>analyte</w:t>
      </w:r>
      <w:proofErr w:type="spellEnd"/>
      <w:r>
        <w:t xml:space="preserve"> vs. ILIS) of at least twice the peak area ratio in all blank samples. To estimate the LOQ in matrix (</w:t>
      </w:r>
      <w:proofErr w:type="spellStart"/>
      <w:r>
        <w:t>LOQ</w:t>
      </w:r>
      <w:r>
        <w:rPr>
          <w:vertAlign w:val="subscript"/>
        </w:rPr>
        <w:t>Matrix</w:t>
      </w:r>
      <w:proofErr w:type="spellEnd"/>
      <w:r>
        <w:t xml:space="preserve">), the </w:t>
      </w:r>
      <w:proofErr w:type="spellStart"/>
      <w:r>
        <w:t>LOQ</w:t>
      </w:r>
      <w:r>
        <w:rPr>
          <w:vertAlign w:val="subscript"/>
        </w:rPr>
        <w:t>Ultrapure</w:t>
      </w:r>
      <w:proofErr w:type="spellEnd"/>
      <w:r>
        <w:t xml:space="preserve"> was divided by the absolute recovery:</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8"/>
        <w:gridCol w:w="709"/>
      </w:tblGrid>
      <w:tr w:rsidR="00A16D0C" w14:paraId="081FBE1A" w14:textId="77777777" w:rsidTr="00F5253C">
        <w:tc>
          <w:tcPr>
            <w:tcW w:w="675" w:type="dxa"/>
          </w:tcPr>
          <w:p w14:paraId="0CABAE4C" w14:textId="77777777" w:rsidR="00A16D0C" w:rsidRDefault="00A16D0C" w:rsidP="00F5253C">
            <w:pPr>
              <w:rPr>
                <w:rStyle w:val="pl-en"/>
              </w:rPr>
            </w:pPr>
          </w:p>
          <w:p w14:paraId="314A5F38" w14:textId="77777777" w:rsidR="00A16D0C" w:rsidRDefault="00A16D0C" w:rsidP="00F5253C">
            <w:pPr>
              <w:rPr>
                <w:rStyle w:val="pl-en"/>
              </w:rPr>
            </w:pPr>
          </w:p>
        </w:tc>
        <w:tc>
          <w:tcPr>
            <w:tcW w:w="7938" w:type="dxa"/>
          </w:tcPr>
          <w:p w14:paraId="0D33B75F" w14:textId="77777777" w:rsidR="00A16D0C" w:rsidRDefault="00F9759D" w:rsidP="00F5253C">
            <w:pPr>
              <w:rPr>
                <w:rStyle w:val="pl-en"/>
              </w:rPr>
            </w:pPr>
            <m:oMathPara>
              <m:oMath>
                <m:sSub>
                  <m:sSubPr>
                    <m:ctrlPr>
                      <w:rPr>
                        <w:rFonts w:ascii="Cambria Math" w:hAnsi="Cambria Math"/>
                        <w:i/>
                      </w:rPr>
                    </m:ctrlPr>
                  </m:sSubPr>
                  <m:e>
                    <m:r>
                      <w:rPr>
                        <w:rFonts w:ascii="Cambria Math" w:hAnsi="Cambria Math"/>
                      </w:rPr>
                      <m:t>LOQ</m:t>
                    </m:r>
                  </m:e>
                  <m:sub>
                    <m:r>
                      <w:rPr>
                        <w:rFonts w:ascii="Cambria Math" w:hAnsi="Cambria Math"/>
                      </w:rPr>
                      <m:t>Matrix</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LOQ</m:t>
                        </m:r>
                      </m:e>
                      <m:sub>
                        <m:r>
                          <w:rPr>
                            <w:rFonts w:ascii="Cambria Math" w:hAnsi="Cambria Math"/>
                          </w:rPr>
                          <m:t>Ultrapure</m:t>
                        </m:r>
                      </m:sub>
                    </m:sSub>
                  </m:num>
                  <m:den>
                    <m:r>
                      <w:rPr>
                        <w:rFonts w:ascii="Cambria Math" w:hAnsi="Cambria Math"/>
                      </w:rPr>
                      <m:t>Absolute Recovery</m:t>
                    </m:r>
                  </m:den>
                </m:f>
              </m:oMath>
            </m:oMathPara>
          </w:p>
        </w:tc>
        <w:tc>
          <w:tcPr>
            <w:tcW w:w="709" w:type="dxa"/>
          </w:tcPr>
          <w:p w14:paraId="140E6AB1" w14:textId="21A1EFAA" w:rsidR="00A16D0C" w:rsidRDefault="00A16D0C" w:rsidP="00A16D0C">
            <w:pPr>
              <w:jc w:val="right"/>
              <w:rPr>
                <w:rStyle w:val="pl-en"/>
              </w:rPr>
            </w:pPr>
            <w:r>
              <w:rPr>
                <w:rStyle w:val="pl-en"/>
              </w:rPr>
              <w:t>(3)</w:t>
            </w:r>
          </w:p>
        </w:tc>
      </w:tr>
    </w:tbl>
    <w:p w14:paraId="44CCAEF5" w14:textId="0C4AF827" w:rsidR="00A16D0C" w:rsidRDefault="00A16D0C" w:rsidP="00A16D0C">
      <w:r>
        <w:t xml:space="preserve">If </w:t>
      </w:r>
      <w:r w:rsidR="00B55D80">
        <w:t xml:space="preserve">the </w:t>
      </w:r>
      <w:r>
        <w:t xml:space="preserve">sample concentration was in the range of the </w:t>
      </w:r>
      <w:proofErr w:type="spellStart"/>
      <w:r>
        <w:t>LOQ</w:t>
      </w:r>
      <w:r>
        <w:rPr>
          <w:vertAlign w:val="subscript"/>
        </w:rPr>
        <w:t>Matrix</w:t>
      </w:r>
      <w:proofErr w:type="spellEnd"/>
      <w:r>
        <w:t>, the so</w:t>
      </w:r>
      <w:r w:rsidR="00B55D80">
        <w:t>-</w:t>
      </w:r>
      <w:r>
        <w:t xml:space="preserve">defined </w:t>
      </w:r>
      <w:proofErr w:type="spellStart"/>
      <w:r>
        <w:t>LOQ</w:t>
      </w:r>
      <w:r>
        <w:rPr>
          <w:vertAlign w:val="subscript"/>
        </w:rPr>
        <w:t>Matrix</w:t>
      </w:r>
      <w:proofErr w:type="spellEnd"/>
      <w:r>
        <w:t xml:space="preserve"> was lowered if the chromatographic peaks in the samples </w:t>
      </w:r>
      <w:r w:rsidR="00B55D80">
        <w:t xml:space="preserve">were defined by </w:t>
      </w:r>
      <w:r>
        <w:t>at least five data points.</w:t>
      </w:r>
    </w:p>
    <w:p w14:paraId="5F8900BE" w14:textId="54A0EF03" w:rsidR="00B4624F" w:rsidRDefault="00B4624F" w:rsidP="006C1C56">
      <w:r>
        <w:t xml:space="preserve">Absolute recoveries were determined for each </w:t>
      </w:r>
      <w:proofErr w:type="spellStart"/>
      <w:r>
        <w:t>analyte</w:t>
      </w:r>
      <w:proofErr w:type="spellEnd"/>
      <w:r>
        <w:t xml:space="preserve"> by comparing the peak area in the ma</w:t>
      </w:r>
      <w:r w:rsidR="00313BBF">
        <w:t xml:space="preserve">trix to the peak area in </w:t>
      </w:r>
      <w:r w:rsidR="003F6215">
        <w:t>ultra</w:t>
      </w:r>
      <w:r w:rsidR="00313BBF">
        <w:t>pure</w:t>
      </w:r>
      <w:r w:rsidR="003F6215">
        <w:t xml:space="preserve"> water</w:t>
      </w:r>
      <w:r w:rsidR="00B55D80">
        <w:t>,</w:t>
      </w:r>
      <w:r w:rsidR="00313BBF">
        <w:t xml:space="preserve"> as described in the following. If a structurally identical ILIS was available, the peak area of the ILIS in the matrix (environmental samples) was divided by the peak area of the ILIS in </w:t>
      </w:r>
      <w:r w:rsidR="00B01169">
        <w:t>ultrapure water (</w:t>
      </w:r>
      <w:r w:rsidR="00D94044">
        <w:t>median of</w:t>
      </w:r>
      <w:r w:rsidR="00B01169">
        <w:t xml:space="preserve"> all enriched </w:t>
      </w:r>
      <w:r w:rsidR="00313BBF">
        <w:t>calibration standards</w:t>
      </w:r>
      <w:r w:rsidR="00B01169">
        <w:t>)</w:t>
      </w:r>
      <w:r w:rsidR="00313BBF">
        <w:t xml:space="preserve"> </w:t>
      </w:r>
      <w:r w:rsidR="00D8225B">
        <w:t xml:space="preserve">according to </w:t>
      </w:r>
      <w:r w:rsidR="00313BBF">
        <w:t>equation</w:t>
      </w:r>
      <w:r w:rsidR="00A16D0C">
        <w:t xml:space="preserve"> 4</w:t>
      </w:r>
      <w:r w:rsidR="00313BBF">
        <w: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8"/>
        <w:gridCol w:w="709"/>
      </w:tblGrid>
      <w:tr w:rsidR="00313BBF" w14:paraId="6B02F4E3" w14:textId="77777777" w:rsidTr="00F5253C">
        <w:tc>
          <w:tcPr>
            <w:tcW w:w="675" w:type="dxa"/>
          </w:tcPr>
          <w:p w14:paraId="2980E719" w14:textId="77777777" w:rsidR="00313BBF" w:rsidRDefault="00313BBF" w:rsidP="00F5253C">
            <w:pPr>
              <w:rPr>
                <w:rStyle w:val="pl-en"/>
              </w:rPr>
            </w:pPr>
          </w:p>
          <w:p w14:paraId="512E8605" w14:textId="77777777" w:rsidR="00313BBF" w:rsidRDefault="00313BBF" w:rsidP="00F5253C">
            <w:pPr>
              <w:rPr>
                <w:rStyle w:val="pl-en"/>
              </w:rPr>
            </w:pPr>
          </w:p>
        </w:tc>
        <w:tc>
          <w:tcPr>
            <w:tcW w:w="7938" w:type="dxa"/>
          </w:tcPr>
          <w:p w14:paraId="00D842CA" w14:textId="316396E7" w:rsidR="00313BBF" w:rsidRDefault="00F9759D" w:rsidP="005B7C0B">
            <w:pPr>
              <w:rPr>
                <w:rStyle w:val="pl-en"/>
              </w:rPr>
            </w:pPr>
            <m:oMathPara>
              <m:oMath>
                <m:sSub>
                  <m:sSubPr>
                    <m:ctrlPr>
                      <w:rPr>
                        <w:rFonts w:ascii="Cambria Math" w:hAnsi="Cambria Math"/>
                        <w:i/>
                      </w:rPr>
                    </m:ctrlPr>
                  </m:sSubPr>
                  <m:e>
                    <m:r>
                      <w:rPr>
                        <w:rFonts w:ascii="Cambria Math" w:hAnsi="Cambria Math"/>
                      </w:rPr>
                      <m:t>Absolute Recovery</m:t>
                    </m:r>
                  </m:e>
                  <m:sub>
                    <m:eqArr>
                      <m:eqArrPr>
                        <m:ctrlPr>
                          <w:rPr>
                            <w:rFonts w:ascii="Cambria Math" w:hAnsi="Cambria Math"/>
                            <w:i/>
                          </w:rPr>
                        </m:ctrlPr>
                      </m:eqArrPr>
                      <m:e>
                        <m:r>
                          <w:rPr>
                            <w:rFonts w:ascii="Cambria Math" w:hAnsi="Cambria Math"/>
                          </w:rPr>
                          <m:t>Identical</m:t>
                        </m:r>
                      </m:e>
                      <m:e>
                        <m:r>
                          <w:rPr>
                            <w:rFonts w:ascii="Cambria Math" w:hAnsi="Cambria Math"/>
                          </w:rPr>
                          <m:t>ILIS</m:t>
                        </m:r>
                      </m:e>
                    </m:eqArr>
                  </m:sub>
                </m:sSub>
                <m:r>
                  <w:rPr>
                    <w:rFonts w:ascii="Cambria Math" w:hAnsi="Cambria Math"/>
                  </w:rPr>
                  <m:t>=Median</m:t>
                </m:r>
                <m:f>
                  <m:fPr>
                    <m:ctrlPr>
                      <w:rPr>
                        <w:rFonts w:ascii="Cambria Math" w:hAnsi="Cambria Math"/>
                        <w:i/>
                      </w:rPr>
                    </m:ctrlPr>
                  </m:fPr>
                  <m:num>
                    <m:sSub>
                      <m:sSubPr>
                        <m:ctrlPr>
                          <w:rPr>
                            <w:rFonts w:ascii="Cambria Math" w:hAnsi="Cambria Math"/>
                            <w:i/>
                          </w:rPr>
                        </m:ctrlPr>
                      </m:sSubPr>
                      <m:e>
                        <m:r>
                          <w:rPr>
                            <w:rFonts w:ascii="Cambria Math" w:hAnsi="Cambria Math"/>
                          </w:rPr>
                          <m:t>Peak Area ILIS</m:t>
                        </m:r>
                      </m:e>
                      <m:sub>
                        <m:r>
                          <w:rPr>
                            <w:rFonts w:ascii="Cambria Math" w:hAnsi="Cambria Math"/>
                          </w:rPr>
                          <m:t>Matrix</m:t>
                        </m:r>
                      </m:sub>
                    </m:sSub>
                  </m:num>
                  <m:den>
                    <m:sSub>
                      <m:sSubPr>
                        <m:ctrlPr>
                          <w:rPr>
                            <w:rFonts w:ascii="Cambria Math" w:hAnsi="Cambria Math"/>
                            <w:i/>
                          </w:rPr>
                        </m:ctrlPr>
                      </m:sSubPr>
                      <m:e>
                        <m:r>
                          <w:rPr>
                            <w:rFonts w:ascii="Cambria Math" w:hAnsi="Cambria Math"/>
                          </w:rPr>
                          <m:t>Median (Peak Area ILIS</m:t>
                        </m:r>
                      </m:e>
                      <m:sub>
                        <m:r>
                          <w:rPr>
                            <w:rFonts w:ascii="Cambria Math" w:hAnsi="Cambria Math"/>
                          </w:rPr>
                          <m:t>Ultrapure</m:t>
                        </m:r>
                      </m:sub>
                    </m:sSub>
                    <m:r>
                      <w:rPr>
                        <w:rFonts w:ascii="Cambria Math" w:hAnsi="Cambria Math"/>
                      </w:rPr>
                      <m:t>)</m:t>
                    </m:r>
                  </m:den>
                </m:f>
              </m:oMath>
            </m:oMathPara>
          </w:p>
        </w:tc>
        <w:tc>
          <w:tcPr>
            <w:tcW w:w="709" w:type="dxa"/>
          </w:tcPr>
          <w:p w14:paraId="0386F21D" w14:textId="6A9E3F6E" w:rsidR="00313BBF" w:rsidRDefault="00313BBF" w:rsidP="00A16D0C">
            <w:pPr>
              <w:jc w:val="right"/>
              <w:rPr>
                <w:rStyle w:val="pl-en"/>
              </w:rPr>
            </w:pPr>
            <w:r>
              <w:rPr>
                <w:rStyle w:val="pl-en"/>
              </w:rPr>
              <w:t>(</w:t>
            </w:r>
            <w:r w:rsidR="00A16D0C">
              <w:rPr>
                <w:rStyle w:val="pl-en"/>
              </w:rPr>
              <w:t>4</w:t>
            </w:r>
            <w:r>
              <w:rPr>
                <w:rStyle w:val="pl-en"/>
              </w:rPr>
              <w:t>)</w:t>
            </w:r>
          </w:p>
        </w:tc>
      </w:tr>
    </w:tbl>
    <w:p w14:paraId="0D041036" w14:textId="62FC4B53" w:rsidR="00313BBF" w:rsidRDefault="00D8225B" w:rsidP="006C1C56">
      <w:r>
        <w:t xml:space="preserve">If a structurally identical ILIS was not available, the peak area of the </w:t>
      </w:r>
      <w:proofErr w:type="spellStart"/>
      <w:r>
        <w:t>analyte</w:t>
      </w:r>
      <w:proofErr w:type="spellEnd"/>
      <w:r w:rsidR="00AF7DBA">
        <w:t xml:space="preserve"> in the spiked sample (after subtracting the peak area in the not spiked sample) was compared to the peak area of the </w:t>
      </w:r>
      <w:proofErr w:type="spellStart"/>
      <w:r w:rsidR="00AF7DBA">
        <w:t>analyte</w:t>
      </w:r>
      <w:proofErr w:type="spellEnd"/>
      <w:r w:rsidR="00AF7DBA">
        <w:t xml:space="preserve"> in the calibration standard </w:t>
      </w:r>
      <w:r w:rsidR="00B918DD">
        <w:t>that corresponded</w:t>
      </w:r>
      <w:r w:rsidR="00AF7DBA">
        <w:t xml:space="preserve"> to the spike level</w:t>
      </w:r>
      <w:r w:rsidR="00B918DD">
        <w: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8"/>
        <w:gridCol w:w="709"/>
      </w:tblGrid>
      <w:tr w:rsidR="00D8225B" w14:paraId="2A53F7FD" w14:textId="77777777" w:rsidTr="00F5253C">
        <w:tc>
          <w:tcPr>
            <w:tcW w:w="675" w:type="dxa"/>
          </w:tcPr>
          <w:p w14:paraId="5840BB18" w14:textId="77777777" w:rsidR="00D8225B" w:rsidRDefault="00D8225B" w:rsidP="00F5253C">
            <w:pPr>
              <w:rPr>
                <w:rStyle w:val="pl-en"/>
              </w:rPr>
            </w:pPr>
          </w:p>
          <w:p w14:paraId="46567DCE" w14:textId="77777777" w:rsidR="00D8225B" w:rsidRDefault="00D8225B" w:rsidP="00F5253C">
            <w:pPr>
              <w:rPr>
                <w:rStyle w:val="pl-en"/>
              </w:rPr>
            </w:pPr>
          </w:p>
        </w:tc>
        <w:tc>
          <w:tcPr>
            <w:tcW w:w="7938" w:type="dxa"/>
          </w:tcPr>
          <w:p w14:paraId="7F252BDD" w14:textId="545C843D" w:rsidR="00D8225B" w:rsidRDefault="00F9759D" w:rsidP="00B918DD">
            <w:pPr>
              <w:rPr>
                <w:rStyle w:val="pl-en"/>
              </w:rPr>
            </w:pPr>
            <m:oMathPara>
              <m:oMath>
                <m:sSub>
                  <m:sSubPr>
                    <m:ctrlPr>
                      <w:rPr>
                        <w:rFonts w:ascii="Cambria Math" w:hAnsi="Cambria Math"/>
                        <w:i/>
                      </w:rPr>
                    </m:ctrlPr>
                  </m:sSubPr>
                  <m:e>
                    <m:r>
                      <w:rPr>
                        <w:rFonts w:ascii="Cambria Math" w:hAnsi="Cambria Math"/>
                      </w:rPr>
                      <m:t>Absolute Recovery</m:t>
                    </m:r>
                  </m:e>
                  <m:sub>
                    <m:eqArr>
                      <m:eqArrPr>
                        <m:ctrlPr>
                          <w:rPr>
                            <w:rFonts w:ascii="Cambria Math" w:hAnsi="Cambria Math"/>
                            <w:i/>
                          </w:rPr>
                        </m:ctrlPr>
                      </m:eqArrPr>
                      <m:e>
                        <m:r>
                          <w:rPr>
                            <w:rFonts w:ascii="Cambria Math" w:hAnsi="Cambria Math"/>
                          </w:rPr>
                          <m:t>No Identical</m:t>
                        </m:r>
                      </m:e>
                      <m:e>
                        <m:r>
                          <w:rPr>
                            <w:rFonts w:ascii="Cambria Math" w:hAnsi="Cambria Math"/>
                          </w:rPr>
                          <m:t>ILIS</m:t>
                        </m:r>
                      </m:e>
                    </m:eqAr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 xml:space="preserve"> Peak Area</m:t>
                        </m:r>
                      </m:e>
                      <m:sub>
                        <m:eqArr>
                          <m:eqArrPr>
                            <m:ctrlPr>
                              <w:rPr>
                                <w:rFonts w:ascii="Cambria Math" w:hAnsi="Cambria Math"/>
                                <w:i/>
                              </w:rPr>
                            </m:ctrlPr>
                          </m:eqArrPr>
                          <m:e>
                            <m:r>
                              <w:rPr>
                                <w:rFonts w:ascii="Cambria Math" w:hAnsi="Cambria Math"/>
                              </w:rPr>
                              <m:t>Spiked</m:t>
                            </m:r>
                          </m:e>
                          <m:e>
                            <m:r>
                              <w:rPr>
                                <w:rFonts w:ascii="Cambria Math" w:hAnsi="Cambria Math"/>
                              </w:rPr>
                              <m:t xml:space="preserve"> Sample</m:t>
                            </m:r>
                          </m:e>
                        </m:eqArr>
                      </m:sub>
                    </m:sSub>
                    <m:r>
                      <w:rPr>
                        <w:rFonts w:ascii="Cambria Math" w:hAnsi="Cambria Math"/>
                      </w:rPr>
                      <m:t xml:space="preserve">- </m:t>
                    </m:r>
                    <m:sSub>
                      <m:sSubPr>
                        <m:ctrlPr>
                          <w:rPr>
                            <w:rFonts w:ascii="Cambria Math" w:hAnsi="Cambria Math"/>
                            <w:i/>
                          </w:rPr>
                        </m:ctrlPr>
                      </m:sSubPr>
                      <m:e>
                        <m:r>
                          <w:rPr>
                            <w:rFonts w:ascii="Cambria Math" w:hAnsi="Cambria Math"/>
                          </w:rPr>
                          <m:t xml:space="preserve"> Peak Area</m:t>
                        </m:r>
                      </m:e>
                      <m:sub>
                        <m:eqArr>
                          <m:eqArrPr>
                            <m:ctrlPr>
                              <w:rPr>
                                <w:rFonts w:ascii="Cambria Math" w:hAnsi="Cambria Math"/>
                                <w:i/>
                              </w:rPr>
                            </m:ctrlPr>
                          </m:eqArrPr>
                          <m:e>
                            <m:r>
                              <w:rPr>
                                <w:rFonts w:ascii="Cambria Math" w:hAnsi="Cambria Math"/>
                              </w:rPr>
                              <m:t>Not Spiked</m:t>
                            </m:r>
                          </m:e>
                          <m:e>
                            <m:r>
                              <w:rPr>
                                <w:rFonts w:ascii="Cambria Math" w:hAnsi="Cambria Math"/>
                              </w:rPr>
                              <m:t xml:space="preserve"> Sample</m:t>
                            </m:r>
                          </m:e>
                        </m:eqArr>
                      </m:sub>
                    </m:sSub>
                  </m:num>
                  <m:den>
                    <m:sSub>
                      <m:sSubPr>
                        <m:ctrlPr>
                          <w:rPr>
                            <w:rFonts w:ascii="Cambria Math" w:hAnsi="Cambria Math"/>
                            <w:i/>
                          </w:rPr>
                        </m:ctrlPr>
                      </m:sSubPr>
                      <m:e>
                        <m:r>
                          <w:rPr>
                            <w:rFonts w:ascii="Cambria Math" w:hAnsi="Cambria Math"/>
                          </w:rPr>
                          <m:t>Peak Area</m:t>
                        </m:r>
                      </m:e>
                      <m:sub>
                        <m:eqArr>
                          <m:eqArrPr>
                            <m:ctrlPr>
                              <w:rPr>
                                <w:rFonts w:ascii="Cambria Math" w:hAnsi="Cambria Math"/>
                                <w:i/>
                              </w:rPr>
                            </m:ctrlPr>
                          </m:eqArrPr>
                          <m:e>
                            <m:r>
                              <w:rPr>
                                <w:rFonts w:ascii="Cambria Math" w:hAnsi="Cambria Math"/>
                              </w:rPr>
                              <m:t>Calibration</m:t>
                            </m:r>
                          </m:e>
                          <m:e>
                            <m:r>
                              <w:rPr>
                                <w:rFonts w:ascii="Cambria Math" w:hAnsi="Cambria Math"/>
                              </w:rPr>
                              <m:t>Standard</m:t>
                            </m:r>
                          </m:e>
                        </m:eqArr>
                      </m:sub>
                    </m:sSub>
                  </m:den>
                </m:f>
              </m:oMath>
            </m:oMathPara>
          </w:p>
        </w:tc>
        <w:tc>
          <w:tcPr>
            <w:tcW w:w="709" w:type="dxa"/>
          </w:tcPr>
          <w:p w14:paraId="5010A9EE" w14:textId="5F0AF5EA" w:rsidR="00D8225B" w:rsidRDefault="00D8225B" w:rsidP="00A16D0C">
            <w:pPr>
              <w:jc w:val="right"/>
              <w:rPr>
                <w:rStyle w:val="pl-en"/>
              </w:rPr>
            </w:pPr>
            <w:r>
              <w:rPr>
                <w:rStyle w:val="pl-en"/>
              </w:rPr>
              <w:t>(</w:t>
            </w:r>
            <w:r w:rsidR="00A16D0C">
              <w:rPr>
                <w:rStyle w:val="pl-en"/>
              </w:rPr>
              <w:t>5</w:t>
            </w:r>
            <w:r>
              <w:rPr>
                <w:rStyle w:val="pl-en"/>
              </w:rPr>
              <w:t>)</w:t>
            </w:r>
          </w:p>
        </w:tc>
      </w:tr>
    </w:tbl>
    <w:p w14:paraId="47AB264A" w14:textId="77777777" w:rsidR="00622B98" w:rsidRDefault="00622B98">
      <w:pPr>
        <w:spacing w:line="276" w:lineRule="auto"/>
        <w:jc w:val="left"/>
      </w:pPr>
      <w:r>
        <w:br w:type="page"/>
      </w:r>
    </w:p>
    <w:p w14:paraId="4559E091" w14:textId="5CF56DEB" w:rsidR="000E0902" w:rsidRDefault="000E0902" w:rsidP="00622B98">
      <w:pPr>
        <w:pStyle w:val="Heading1"/>
      </w:pPr>
      <w:bookmarkStart w:id="4" w:name="_Toc12624283"/>
      <w:r w:rsidRPr="0056485F">
        <w:lastRenderedPageBreak/>
        <w:t xml:space="preserve">SI-A </w:t>
      </w:r>
      <w:r w:rsidRPr="00BF28C8">
        <w:fldChar w:fldCharType="begin"/>
      </w:r>
      <w:r w:rsidRPr="0056485F">
        <w:instrText xml:space="preserve"> SEQ SI-A \* ARABIC </w:instrText>
      </w:r>
      <w:r w:rsidRPr="00BF28C8">
        <w:fldChar w:fldCharType="separate"/>
      </w:r>
      <w:r w:rsidR="00181B0F">
        <w:rPr>
          <w:noProof/>
        </w:rPr>
        <w:t>3</w:t>
      </w:r>
      <w:r w:rsidRPr="00BF28C8">
        <w:fldChar w:fldCharType="end"/>
      </w:r>
      <w:r w:rsidRPr="0056485F">
        <w:t xml:space="preserve">: </w:t>
      </w:r>
      <w:r>
        <w:t>Suspect Screening</w:t>
      </w:r>
      <w:bookmarkEnd w:id="4"/>
    </w:p>
    <w:p w14:paraId="010FA8C4" w14:textId="2CE7B973" w:rsidR="00921CD4" w:rsidRDefault="00921CD4" w:rsidP="00622B98">
      <w:pPr>
        <w:pStyle w:val="Caption"/>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70804" w14:paraId="68C7299F" w14:textId="77777777" w:rsidTr="00270804">
        <w:tc>
          <w:tcPr>
            <w:tcW w:w="9062" w:type="dxa"/>
            <w:vAlign w:val="center"/>
          </w:tcPr>
          <w:p w14:paraId="0BFC4A9D" w14:textId="64F14CAC" w:rsidR="00270804" w:rsidRDefault="00DA5BDC" w:rsidP="00270804">
            <w:pPr>
              <w:jc w:val="center"/>
            </w:pPr>
            <w:r>
              <w:rPr>
                <w:noProof/>
                <w:lang w:val="de-CH" w:eastAsia="de-CH"/>
              </w:rPr>
              <mc:AlternateContent>
                <mc:Choice Requires="wps">
                  <w:drawing>
                    <wp:anchor distT="0" distB="0" distL="114300" distR="114300" simplePos="0" relativeHeight="251665408" behindDoc="0" locked="0" layoutInCell="1" allowOverlap="1" wp14:anchorId="18173D26" wp14:editId="188ADA6F">
                      <wp:simplePos x="0" y="0"/>
                      <wp:positionH relativeFrom="column">
                        <wp:posOffset>65295</wp:posOffset>
                      </wp:positionH>
                      <wp:positionV relativeFrom="paragraph">
                        <wp:posOffset>64604</wp:posOffset>
                      </wp:positionV>
                      <wp:extent cx="405516" cy="437322"/>
                      <wp:effectExtent l="0" t="0" r="0" b="1270"/>
                      <wp:wrapNone/>
                      <wp:docPr id="20" name="Text Box 20"/>
                      <wp:cNvGraphicFramePr/>
                      <a:graphic xmlns:a="http://schemas.openxmlformats.org/drawingml/2006/main">
                        <a:graphicData uri="http://schemas.microsoft.com/office/word/2010/wordprocessingShape">
                          <wps:wsp>
                            <wps:cNvSpPr txBox="1"/>
                            <wps:spPr>
                              <a:xfrm>
                                <a:off x="0" y="0"/>
                                <a:ext cx="405516" cy="437322"/>
                              </a:xfrm>
                              <a:prstGeom prst="rect">
                                <a:avLst/>
                              </a:prstGeom>
                              <a:solidFill>
                                <a:schemeClr val="lt1"/>
                              </a:solidFill>
                              <a:ln w="6350">
                                <a:noFill/>
                              </a:ln>
                            </wps:spPr>
                            <wps:txbx>
                              <w:txbxContent>
                                <w:p w14:paraId="3672B374" w14:textId="2DA22B5F" w:rsidR="005E3A87" w:rsidRPr="00DA5BDC" w:rsidRDefault="005E3A87">
                                  <w:pPr>
                                    <w:rPr>
                                      <w:lang w:val="en-US"/>
                                    </w:rPr>
                                  </w:pPr>
                                  <w:proofErr w:type="gramStart"/>
                                  <w:r>
                                    <w:rPr>
                                      <w:lang w:val="en-US"/>
                                    </w:rP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173D26" id="_x0000_t202" coordsize="21600,21600" o:spt="202" path="m,l,21600r21600,l21600,xe">
                      <v:stroke joinstyle="miter"/>
                      <v:path gradientshapeok="t" o:connecttype="rect"/>
                    </v:shapetype>
                    <v:shape id="Text Box 20" o:spid="_x0000_s1026" type="#_x0000_t202" style="position:absolute;left:0;text-align:left;margin-left:5.15pt;margin-top:5.1pt;width:31.95pt;height:34.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" fillcolor="white [3201]" stroked="f" strokeweight=".5pt">
                      <v:textbox>
                        <w:txbxContent>
                          <w:p w14:paraId="3672B374" w14:textId="2DA22B5F" w:rsidR="005E3A87" w:rsidRPr="00DA5BDC" w:rsidRDefault="005E3A87">
                            <w:pPr>
                              <w:rPr>
                                <w:lang w:val="en-US"/>
                              </w:rPr>
                            </w:pPr>
                            <w:proofErr w:type="gramStart"/>
                            <w:r>
                              <w:rPr>
                                <w:lang w:val="en-US"/>
                              </w:rPr>
                              <w:t>a</w:t>
                            </w:r>
                            <w:proofErr w:type="gramEnd"/>
                          </w:p>
                        </w:txbxContent>
                      </v:textbox>
                    </v:shape>
                  </w:pict>
                </mc:Fallback>
              </mc:AlternateContent>
            </w:r>
            <w:r w:rsidR="00270804">
              <w:rPr>
                <w:noProof/>
                <w:lang w:val="de-CH" w:eastAsia="de-CH"/>
              </w:rPr>
              <w:drawing>
                <wp:inline distT="0" distB="0" distL="0" distR="0" wp14:anchorId="4D4DE401" wp14:editId="4138F2A8">
                  <wp:extent cx="3672000" cy="366890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_in_Target_Suspect_Formulae_LOQ.png"/>
                          <pic:cNvPicPr/>
                        </pic:nvPicPr>
                        <pic:blipFill>
                          <a:blip r:embed="rId10">
                            <a:extLst>
                              <a:ext uri="{28A0092B-C50C-407E-A947-70E740481C1C}">
                                <a14:useLocalDpi xmlns:a14="http://schemas.microsoft.com/office/drawing/2010/main" val="0"/>
                              </a:ext>
                            </a:extLst>
                          </a:blip>
                          <a:stretch>
                            <a:fillRect/>
                          </a:stretch>
                        </pic:blipFill>
                        <pic:spPr>
                          <a:xfrm>
                            <a:off x="0" y="0"/>
                            <a:ext cx="3672000" cy="3668901"/>
                          </a:xfrm>
                          <a:prstGeom prst="rect">
                            <a:avLst/>
                          </a:prstGeom>
                        </pic:spPr>
                      </pic:pic>
                    </a:graphicData>
                  </a:graphic>
                </wp:inline>
              </w:drawing>
            </w:r>
          </w:p>
        </w:tc>
      </w:tr>
      <w:tr w:rsidR="00270804" w14:paraId="51160998" w14:textId="77777777" w:rsidTr="00270804">
        <w:tc>
          <w:tcPr>
            <w:tcW w:w="9062" w:type="dxa"/>
            <w:vAlign w:val="center"/>
          </w:tcPr>
          <w:p w14:paraId="3B94A8A1" w14:textId="41C6C2D6" w:rsidR="00270804" w:rsidRDefault="00DA5BDC" w:rsidP="00270804">
            <w:pPr>
              <w:jc w:val="center"/>
            </w:pPr>
            <w:r>
              <w:rPr>
                <w:noProof/>
                <w:lang w:val="de-CH" w:eastAsia="de-CH"/>
              </w:rPr>
              <mc:AlternateContent>
                <mc:Choice Requires="wps">
                  <w:drawing>
                    <wp:anchor distT="0" distB="0" distL="114300" distR="114300" simplePos="0" relativeHeight="251666432" behindDoc="0" locked="0" layoutInCell="1" allowOverlap="1" wp14:anchorId="012D6D4E" wp14:editId="732F236F">
                      <wp:simplePos x="0" y="0"/>
                      <wp:positionH relativeFrom="column">
                        <wp:posOffset>73246</wp:posOffset>
                      </wp:positionH>
                      <wp:positionV relativeFrom="paragraph">
                        <wp:posOffset>114328</wp:posOffset>
                      </wp:positionV>
                      <wp:extent cx="453224" cy="318052"/>
                      <wp:effectExtent l="0" t="0" r="4445" b="6350"/>
                      <wp:wrapNone/>
                      <wp:docPr id="21" name="Text Box 21"/>
                      <wp:cNvGraphicFramePr/>
                      <a:graphic xmlns:a="http://schemas.openxmlformats.org/drawingml/2006/main">
                        <a:graphicData uri="http://schemas.microsoft.com/office/word/2010/wordprocessingShape">
                          <wps:wsp>
                            <wps:cNvSpPr txBox="1"/>
                            <wps:spPr>
                              <a:xfrm>
                                <a:off x="0" y="0"/>
                                <a:ext cx="453224" cy="318052"/>
                              </a:xfrm>
                              <a:prstGeom prst="rect">
                                <a:avLst/>
                              </a:prstGeom>
                              <a:solidFill>
                                <a:schemeClr val="lt1"/>
                              </a:solidFill>
                              <a:ln w="6350">
                                <a:noFill/>
                              </a:ln>
                            </wps:spPr>
                            <wps:txbx>
                              <w:txbxContent>
                                <w:p w14:paraId="5CEFEFDC" w14:textId="45F787E8" w:rsidR="005E3A87" w:rsidRPr="00DA5BDC" w:rsidRDefault="005E3A87">
                                  <w:pPr>
                                    <w:rPr>
                                      <w:lang w:val="en-US"/>
                                    </w:rPr>
                                  </w:pPr>
                                  <w:proofErr w:type="gramStart"/>
                                  <w:r>
                                    <w:rPr>
                                      <w:lang w:val="en-US"/>
                                    </w:rP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2D6D4E" id="Text Box 21" o:spid="_x0000_s1027" type="#_x0000_t202" style="position:absolute;left:0;text-align:left;margin-left:5.75pt;margin-top:9pt;width:35.7pt;height:25.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" fillcolor="white [3201]" stroked="f" strokeweight=".5pt">
                      <v:textbox>
                        <w:txbxContent>
                          <w:p w14:paraId="5CEFEFDC" w14:textId="45F787E8" w:rsidR="005E3A87" w:rsidRPr="00DA5BDC" w:rsidRDefault="005E3A87">
                            <w:pPr>
                              <w:rPr>
                                <w:lang w:val="en-US"/>
                              </w:rPr>
                            </w:pPr>
                            <w:proofErr w:type="gramStart"/>
                            <w:r>
                              <w:rPr>
                                <w:lang w:val="en-US"/>
                              </w:rPr>
                              <w:t>b</w:t>
                            </w:r>
                            <w:proofErr w:type="gramEnd"/>
                          </w:p>
                        </w:txbxContent>
                      </v:textbox>
                    </v:shape>
                  </w:pict>
                </mc:Fallback>
              </mc:AlternateContent>
            </w:r>
            <w:r w:rsidR="00270804">
              <w:rPr>
                <w:noProof/>
                <w:lang w:val="de-CH" w:eastAsia="de-CH"/>
              </w:rPr>
              <w:drawing>
                <wp:inline distT="0" distB="0" distL="0" distR="0" wp14:anchorId="38A2E0F1" wp14:editId="5C38A0AE">
                  <wp:extent cx="3636000" cy="3636000"/>
                  <wp:effectExtent l="0" t="0" r="317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D_size_targets_suspects.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36000" cy="3636000"/>
                          </a:xfrm>
                          <a:prstGeom prst="rect">
                            <a:avLst/>
                          </a:prstGeom>
                          <a:ln>
                            <a:noFill/>
                          </a:ln>
                          <a:extLst>
                            <a:ext uri="{53640926-AAD7-44D8-BBD7-CCE9431645EC}">
                              <a14:shadowObscured xmlns:a14="http://schemas.microsoft.com/office/drawing/2010/main"/>
                            </a:ext>
                          </a:extLst>
                        </pic:spPr>
                      </pic:pic>
                    </a:graphicData>
                  </a:graphic>
                </wp:inline>
              </w:drawing>
            </w:r>
          </w:p>
        </w:tc>
      </w:tr>
      <w:tr w:rsidR="00270804" w14:paraId="39569497" w14:textId="77777777" w:rsidTr="00270804">
        <w:tc>
          <w:tcPr>
            <w:tcW w:w="9062" w:type="dxa"/>
            <w:vAlign w:val="center"/>
          </w:tcPr>
          <w:p w14:paraId="4C8AF1CA" w14:textId="73258E23" w:rsidR="00270804" w:rsidRDefault="00270804" w:rsidP="00270804">
            <w:pPr>
              <w:pStyle w:val="Caption"/>
            </w:pPr>
            <w:r>
              <w:t xml:space="preserve">Figure SI-A </w:t>
            </w:r>
            <w:r>
              <w:rPr>
                <w:noProof/>
              </w:rPr>
              <w:fldChar w:fldCharType="begin"/>
            </w:r>
            <w:r>
              <w:rPr>
                <w:noProof/>
              </w:rPr>
              <w:instrText xml:space="preserve"> SEQ Figure_SI-A \* ARABIC </w:instrText>
            </w:r>
            <w:r>
              <w:rPr>
                <w:noProof/>
              </w:rPr>
              <w:fldChar w:fldCharType="separate"/>
            </w:r>
            <w:r w:rsidR="00181B0F">
              <w:rPr>
                <w:noProof/>
              </w:rPr>
              <w:t>1</w:t>
            </w:r>
            <w:r>
              <w:rPr>
                <w:noProof/>
              </w:rPr>
              <w:fldChar w:fldCharType="end"/>
            </w:r>
            <w:r>
              <w:t>: a) Bar plots: distribution of heteroatoms in targets and suspects; boxplots: LOQ of targets depending on heteroatoms; 0.5% of suspects do not contain any heteroatoms (not shown). b) Molecular volume vs. logD</w:t>
            </w:r>
            <w:r w:rsidRPr="00AB4C1F">
              <w:rPr>
                <w:vertAlign w:val="subscript"/>
              </w:rPr>
              <w:t>pH3</w:t>
            </w:r>
            <w:r>
              <w:t xml:space="preserve"> of the targets (grey), suspects (red) and confirmed suspects (blue). The theoretical pH of the LC eluent was 3.</w:t>
            </w:r>
          </w:p>
          <w:p w14:paraId="6D7B96D6" w14:textId="77777777" w:rsidR="00270804" w:rsidRPr="00270804" w:rsidRDefault="00270804" w:rsidP="00270804">
            <w:pPr>
              <w:jc w:val="center"/>
              <w:rPr>
                <w:noProof/>
                <w:lang w:eastAsia="de-CH"/>
              </w:rPr>
            </w:pPr>
          </w:p>
        </w:tc>
      </w:tr>
    </w:tbl>
    <w:p w14:paraId="7226D122" w14:textId="0BE8C133" w:rsidR="00622B98" w:rsidRDefault="00622B98">
      <w:pPr>
        <w:spacing w:line="276" w:lineRule="auto"/>
        <w:jc w:val="left"/>
      </w:pPr>
      <w:r>
        <w:br w:type="page"/>
      </w:r>
    </w:p>
    <w:p w14:paraId="56320926" w14:textId="77777777" w:rsidR="00805467" w:rsidRDefault="009F0707" w:rsidP="00805467">
      <w:pPr>
        <w:rPr>
          <w:b/>
        </w:rPr>
      </w:pPr>
      <w:r>
        <w:rPr>
          <w:b/>
        </w:rPr>
        <w:lastRenderedPageBreak/>
        <w:t>Automated Screening</w:t>
      </w:r>
    </w:p>
    <w:p w14:paraId="5895E420" w14:textId="39A02B20" w:rsidR="00805467" w:rsidRDefault="00805467" w:rsidP="00805467">
      <w:r>
        <w:t>The suspect screening with CD 2.1 was performed separately for positive and negative</w:t>
      </w:r>
      <w:r w:rsidR="003A03BF">
        <w:t xml:space="preserve"> electrospray</w:t>
      </w:r>
      <w:r>
        <w:t xml:space="preserve"> ionization. </w:t>
      </w:r>
      <w:r w:rsidR="00DD5BE9">
        <w:t>To optimize parameter settings</w:t>
      </w:r>
      <w:r w:rsidR="00D52CB9">
        <w:t>,</w:t>
      </w:r>
      <w:r w:rsidR="00DD5BE9">
        <w:t xml:space="preserve"> mass accuracy and RT shift of ILIS were analysed. </w:t>
      </w:r>
      <w:r w:rsidR="005B1466">
        <w:t>The accurate mass of the ILIS deviated less than 5 ppm from their exact mass. Furthermore, ILIS shifted not more than 1.5 min within the measurement sequence</w:t>
      </w:r>
      <w:r w:rsidR="00DD5BE9">
        <w:t xml:space="preserve"> (except for metolachlor-esa-d11: more than 15 min, </w:t>
      </w:r>
      <w:r w:rsidR="00DD5BE9">
        <w:fldChar w:fldCharType="begin"/>
      </w:r>
      <w:r w:rsidR="00DD5BE9">
        <w:instrText xml:space="preserve"> REF _Ref522696602 \h </w:instrText>
      </w:r>
      <w:r w:rsidR="00DD5BE9">
        <w:fldChar w:fldCharType="separate"/>
      </w:r>
      <w:r w:rsidR="00181B0F">
        <w:t xml:space="preserve">Figure SI-A </w:t>
      </w:r>
      <w:r w:rsidR="00181B0F">
        <w:rPr>
          <w:noProof/>
        </w:rPr>
        <w:t>2</w:t>
      </w:r>
      <w:r w:rsidR="00DD5BE9">
        <w:fldChar w:fldCharType="end"/>
      </w:r>
      <w:r w:rsidR="00DD5BE9">
        <w:t>)</w:t>
      </w:r>
      <w:r w:rsidR="005B1466">
        <w:t xml:space="preserve">. </w:t>
      </w:r>
      <w:r w:rsidR="00674DA8">
        <w:fldChar w:fldCharType="begin"/>
      </w:r>
      <w:r w:rsidR="00674DA8">
        <w:instrText xml:space="preserve"> REF _Ref790829 \h </w:instrText>
      </w:r>
      <w:r w:rsidR="00674DA8">
        <w:fldChar w:fldCharType="separate"/>
      </w:r>
      <w:r w:rsidR="00181B0F">
        <w:t xml:space="preserve">Table SI-A </w:t>
      </w:r>
      <w:r w:rsidR="00181B0F">
        <w:rPr>
          <w:noProof/>
        </w:rPr>
        <w:t>2</w:t>
      </w:r>
      <w:r w:rsidR="00674DA8">
        <w:fldChar w:fldCharType="end"/>
      </w:r>
      <w:r w:rsidR="00674DA8">
        <w:t xml:space="preserve"> </w:t>
      </w:r>
      <w:r>
        <w:t xml:space="preserve">lists the used nodes and </w:t>
      </w:r>
      <w:r w:rsidR="008C550B">
        <w:t xml:space="preserve">most important parameter </w:t>
      </w:r>
      <w:r>
        <w:t>settings</w:t>
      </w:r>
      <w:r w:rsidR="003A03BF">
        <w:t xml:space="preserve"> for CD 2.1</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3819"/>
      </w:tblGrid>
      <w:tr w:rsidR="00E3188A" w14:paraId="299BAB8B" w14:textId="77777777" w:rsidTr="00E3188A">
        <w:tc>
          <w:tcPr>
            <w:tcW w:w="5353" w:type="dxa"/>
          </w:tcPr>
          <w:p w14:paraId="095D79FE" w14:textId="77777777" w:rsidR="00E3188A" w:rsidRDefault="00DA7F3D" w:rsidP="00E3188A">
            <w:pPr>
              <w:jc w:val="center"/>
            </w:pPr>
            <w:r>
              <w:rPr>
                <w:noProof/>
                <w:lang w:val="de-CH" w:eastAsia="de-CH"/>
              </w:rPr>
              <mc:AlternateContent>
                <mc:Choice Requires="wps">
                  <w:drawing>
                    <wp:anchor distT="0" distB="0" distL="114300" distR="114300" simplePos="0" relativeHeight="251659264" behindDoc="0" locked="0" layoutInCell="1" allowOverlap="1" wp14:anchorId="64031E09" wp14:editId="66A433DB">
                      <wp:simplePos x="0" y="0"/>
                      <wp:positionH relativeFrom="column">
                        <wp:posOffset>-72771</wp:posOffset>
                      </wp:positionH>
                      <wp:positionV relativeFrom="paragraph">
                        <wp:posOffset>-2590</wp:posOffset>
                      </wp:positionV>
                      <wp:extent cx="402336" cy="351129"/>
                      <wp:effectExtent l="0" t="0" r="0" b="0"/>
                      <wp:wrapNone/>
                      <wp:docPr id="7" name="Text Box 7"/>
                      <wp:cNvGraphicFramePr/>
                      <a:graphic xmlns:a="http://schemas.openxmlformats.org/drawingml/2006/main">
                        <a:graphicData uri="http://schemas.microsoft.com/office/word/2010/wordprocessingShape">
                          <wps:wsp>
                            <wps:cNvSpPr txBox="1"/>
                            <wps:spPr>
                              <a:xfrm>
                                <a:off x="0" y="0"/>
                                <a:ext cx="402336" cy="3511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683D6" w14:textId="77777777" w:rsidR="005E3A87" w:rsidRPr="00DA7F3D" w:rsidRDefault="005E3A87">
                                  <w:pPr>
                                    <w:rPr>
                                      <w:lang w:val="de-CH"/>
                                    </w:rPr>
                                  </w:pPr>
                                  <w:r>
                                    <w:rPr>
                                      <w:lang w:val="de-CH"/>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031E09" id="Text Box 7" o:spid="_x0000_s1028" type="#_x0000_t202" style="position:absolute;left:0;text-align:left;margin-left:-5.75pt;margin-top:-.2pt;width:31.7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" filled="f" stroked="f" strokeweight=".5pt">
                      <v:textbox>
                        <w:txbxContent>
                          <w:p w14:paraId="5B0683D6" w14:textId="77777777" w:rsidR="005E3A87" w:rsidRPr="00DA7F3D" w:rsidRDefault="005E3A87">
                            <w:pPr>
                              <w:rPr>
                                <w:lang w:val="de-CH"/>
                              </w:rPr>
                            </w:pPr>
                            <w:r>
                              <w:rPr>
                                <w:lang w:val="de-CH"/>
                              </w:rPr>
                              <w:t>a</w:t>
                            </w:r>
                          </w:p>
                        </w:txbxContent>
                      </v:textbox>
                    </v:shape>
                  </w:pict>
                </mc:Fallback>
              </mc:AlternateContent>
            </w:r>
            <w:r w:rsidR="00E3188A">
              <w:rPr>
                <w:noProof/>
                <w:lang w:val="de-CH" w:eastAsia="de-CH"/>
              </w:rPr>
              <w:drawing>
                <wp:inline distT="0" distB="0" distL="0" distR="0" wp14:anchorId="44664AAD" wp14:editId="234B9AD4">
                  <wp:extent cx="2880000" cy="2880000"/>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a:noFill/>
                          <a:ln>
                            <a:noFill/>
                          </a:ln>
                        </pic:spPr>
                      </pic:pic>
                    </a:graphicData>
                  </a:graphic>
                </wp:inline>
              </w:drawing>
            </w:r>
          </w:p>
        </w:tc>
        <w:tc>
          <w:tcPr>
            <w:tcW w:w="3935" w:type="dxa"/>
          </w:tcPr>
          <w:p w14:paraId="621DBAFF" w14:textId="77777777" w:rsidR="00E3188A" w:rsidRDefault="00DA7F3D" w:rsidP="00E3188A">
            <w:pPr>
              <w:jc w:val="center"/>
            </w:pPr>
            <w:r>
              <w:rPr>
                <w:noProof/>
                <w:lang w:val="de-CH" w:eastAsia="de-CH"/>
              </w:rPr>
              <mc:AlternateContent>
                <mc:Choice Requires="wps">
                  <w:drawing>
                    <wp:anchor distT="0" distB="0" distL="114300" distR="114300" simplePos="0" relativeHeight="251660288" behindDoc="0" locked="0" layoutInCell="1" allowOverlap="1" wp14:anchorId="267F7189" wp14:editId="0233694B">
                      <wp:simplePos x="0" y="0"/>
                      <wp:positionH relativeFrom="column">
                        <wp:posOffset>-62560</wp:posOffset>
                      </wp:positionH>
                      <wp:positionV relativeFrom="paragraph">
                        <wp:posOffset>-1270</wp:posOffset>
                      </wp:positionV>
                      <wp:extent cx="409651" cy="350520"/>
                      <wp:effectExtent l="0" t="0" r="0" b="0"/>
                      <wp:wrapNone/>
                      <wp:docPr id="8" name="Text Box 8"/>
                      <wp:cNvGraphicFramePr/>
                      <a:graphic xmlns:a="http://schemas.openxmlformats.org/drawingml/2006/main">
                        <a:graphicData uri="http://schemas.microsoft.com/office/word/2010/wordprocessingShape">
                          <wps:wsp>
                            <wps:cNvSpPr txBox="1"/>
                            <wps:spPr>
                              <a:xfrm>
                                <a:off x="0" y="0"/>
                                <a:ext cx="409651"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960E5" w14:textId="77777777" w:rsidR="005E3A87" w:rsidRPr="00DA7F3D" w:rsidRDefault="005E3A87">
                                  <w:pPr>
                                    <w:rPr>
                                      <w:lang w:val="de-CH"/>
                                    </w:rPr>
                                  </w:pPr>
                                  <w:r>
                                    <w:rPr>
                                      <w:lang w:val="de-CH"/>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7F7189" id="Text Box 8" o:spid="_x0000_s1029" type="#_x0000_t202" style="position:absolute;left:0;text-align:left;margin-left:-4.95pt;margin-top:-.1pt;width:32.25pt;height:27.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" filled="f" stroked="f" strokeweight=".5pt">
                      <v:textbox>
                        <w:txbxContent>
                          <w:p w14:paraId="2BD960E5" w14:textId="77777777" w:rsidR="005E3A87" w:rsidRPr="00DA7F3D" w:rsidRDefault="005E3A87">
                            <w:pPr>
                              <w:rPr>
                                <w:lang w:val="de-CH"/>
                              </w:rPr>
                            </w:pPr>
                            <w:r>
                              <w:rPr>
                                <w:lang w:val="de-CH"/>
                              </w:rPr>
                              <w:t>b</w:t>
                            </w:r>
                          </w:p>
                        </w:txbxContent>
                      </v:textbox>
                    </v:shape>
                  </w:pict>
                </mc:Fallback>
              </mc:AlternateContent>
            </w:r>
            <w:r w:rsidR="00E3188A">
              <w:rPr>
                <w:noProof/>
                <w:lang w:val="de-CH" w:eastAsia="de-CH"/>
              </w:rPr>
              <w:drawing>
                <wp:inline distT="0" distB="0" distL="0" distR="0" wp14:anchorId="095B1188" wp14:editId="05BC3321">
                  <wp:extent cx="1919999" cy="288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_shif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9999" cy="2880000"/>
                          </a:xfrm>
                          <a:prstGeom prst="rect">
                            <a:avLst/>
                          </a:prstGeom>
                        </pic:spPr>
                      </pic:pic>
                    </a:graphicData>
                  </a:graphic>
                </wp:inline>
              </w:drawing>
            </w:r>
          </w:p>
        </w:tc>
      </w:tr>
      <w:tr w:rsidR="00E3188A" w14:paraId="22493D6F" w14:textId="77777777" w:rsidTr="00650066">
        <w:tc>
          <w:tcPr>
            <w:tcW w:w="9288" w:type="dxa"/>
            <w:gridSpan w:val="2"/>
          </w:tcPr>
          <w:p w14:paraId="5410C458" w14:textId="78CA1895" w:rsidR="00E3188A" w:rsidRDefault="00DA7F3D" w:rsidP="00622B98">
            <w:pPr>
              <w:pStyle w:val="Caption"/>
            </w:pPr>
            <w:bookmarkStart w:id="5" w:name="_Ref522696602"/>
            <w:r>
              <w:t xml:space="preserve">Figure SI-A </w:t>
            </w:r>
            <w:r>
              <w:fldChar w:fldCharType="begin"/>
            </w:r>
            <w:r>
              <w:instrText xml:space="preserve"> SEQ Figure_SI-A \* ARABIC </w:instrText>
            </w:r>
            <w:r>
              <w:fldChar w:fldCharType="separate"/>
            </w:r>
            <w:r w:rsidR="00181B0F">
              <w:rPr>
                <w:noProof/>
              </w:rPr>
              <w:t>2</w:t>
            </w:r>
            <w:r>
              <w:fldChar w:fldCharType="end"/>
            </w:r>
            <w:bookmarkEnd w:id="5"/>
            <w:r>
              <w:t xml:space="preserve">: a) Mass accuracy of ILIS in positive and negative ionization mode; b) </w:t>
            </w:r>
            <w:r w:rsidR="00781A55">
              <w:t xml:space="preserve">maximum </w:t>
            </w:r>
            <w:r>
              <w:t>RT shift of ILIS within measurement sequence.</w:t>
            </w:r>
          </w:p>
        </w:tc>
      </w:tr>
    </w:tbl>
    <w:p w14:paraId="6EC6A084" w14:textId="77777777" w:rsidR="009F0707" w:rsidRDefault="009F0707" w:rsidP="00805467"/>
    <w:p w14:paraId="7469E680" w14:textId="44F95A3D" w:rsidR="00622B98" w:rsidRDefault="00622B98" w:rsidP="00622B98">
      <w:pPr>
        <w:pStyle w:val="Caption"/>
        <w:keepNext/>
      </w:pPr>
      <w:bookmarkStart w:id="6" w:name="_Ref790829"/>
      <w:r>
        <w:t xml:space="preserve">Table SI-A </w:t>
      </w:r>
      <w:r w:rsidR="00E9528F">
        <w:fldChar w:fldCharType="begin"/>
      </w:r>
      <w:r w:rsidR="00E9528F">
        <w:instrText xml:space="preserve"> SEQ Table_SI-A \* ARABIC </w:instrText>
      </w:r>
      <w:r w:rsidR="00E9528F">
        <w:fldChar w:fldCharType="separate"/>
      </w:r>
      <w:r w:rsidR="00181B0F">
        <w:rPr>
          <w:noProof/>
        </w:rPr>
        <w:t>2</w:t>
      </w:r>
      <w:r w:rsidR="00E9528F">
        <w:fldChar w:fldCharType="end"/>
      </w:r>
      <w:bookmarkEnd w:id="6"/>
      <w:r>
        <w:t>: Nodes and parameter settings used for the CD 2.1 workflow.</w:t>
      </w:r>
    </w:p>
    <w:tbl>
      <w:tblPr>
        <w:tblStyle w:val="TableGrid"/>
        <w:tblW w:w="0" w:type="auto"/>
        <w:tblBorders>
          <w:insideV w:val="none" w:sz="0" w:space="0" w:color="auto"/>
        </w:tblBorders>
        <w:tblLook w:val="04A0" w:firstRow="1" w:lastRow="0" w:firstColumn="1" w:lastColumn="0" w:noHBand="0" w:noVBand="1"/>
      </w:tblPr>
      <w:tblGrid>
        <w:gridCol w:w="1936"/>
        <w:gridCol w:w="7126"/>
      </w:tblGrid>
      <w:tr w:rsidR="00805467" w14:paraId="305580C4" w14:textId="77777777" w:rsidTr="006E0DD7">
        <w:tc>
          <w:tcPr>
            <w:tcW w:w="1937" w:type="dxa"/>
            <w:shd w:val="clear" w:color="auto" w:fill="F2F2F2" w:themeFill="background1" w:themeFillShade="F2"/>
          </w:tcPr>
          <w:p w14:paraId="4F0497A1" w14:textId="77777777" w:rsidR="00805467" w:rsidRPr="0027120D" w:rsidRDefault="00805467" w:rsidP="00805467">
            <w:pPr>
              <w:rPr>
                <w:b/>
              </w:rPr>
            </w:pPr>
            <w:r w:rsidRPr="0027120D">
              <w:rPr>
                <w:b/>
              </w:rPr>
              <w:t>Node</w:t>
            </w:r>
          </w:p>
        </w:tc>
        <w:tc>
          <w:tcPr>
            <w:tcW w:w="7135" w:type="dxa"/>
            <w:shd w:val="clear" w:color="auto" w:fill="F2F2F2" w:themeFill="background1" w:themeFillShade="F2"/>
          </w:tcPr>
          <w:p w14:paraId="7E39D8D8" w14:textId="77777777" w:rsidR="00805467" w:rsidRPr="0027120D" w:rsidRDefault="00805467" w:rsidP="00805467">
            <w:pPr>
              <w:rPr>
                <w:b/>
              </w:rPr>
            </w:pPr>
            <w:r w:rsidRPr="0027120D">
              <w:rPr>
                <w:b/>
              </w:rPr>
              <w:t>Settings</w:t>
            </w:r>
          </w:p>
          <w:p w14:paraId="0C40E31D" w14:textId="77777777" w:rsidR="0027120D" w:rsidRPr="0027120D" w:rsidRDefault="0027120D" w:rsidP="00805467">
            <w:pPr>
              <w:rPr>
                <w:b/>
              </w:rPr>
            </w:pPr>
          </w:p>
        </w:tc>
      </w:tr>
      <w:tr w:rsidR="00805467" w14:paraId="52BABC93" w14:textId="77777777" w:rsidTr="006E0DD7">
        <w:tc>
          <w:tcPr>
            <w:tcW w:w="1937" w:type="dxa"/>
          </w:tcPr>
          <w:p w14:paraId="5B399FA4" w14:textId="77777777" w:rsidR="00805467" w:rsidRDefault="00805467" w:rsidP="00805467">
            <w:pPr>
              <w:jc w:val="left"/>
            </w:pPr>
            <w:r>
              <w:t>Input Files</w:t>
            </w:r>
          </w:p>
        </w:tc>
        <w:tc>
          <w:tcPr>
            <w:tcW w:w="7135" w:type="dxa"/>
          </w:tcPr>
          <w:p w14:paraId="4CAE3882" w14:textId="77777777" w:rsidR="00805467" w:rsidRDefault="00805467" w:rsidP="00805467"/>
        </w:tc>
      </w:tr>
      <w:tr w:rsidR="00805467" w14:paraId="68481EE0" w14:textId="77777777" w:rsidTr="006E0DD7">
        <w:tc>
          <w:tcPr>
            <w:tcW w:w="1937" w:type="dxa"/>
          </w:tcPr>
          <w:p w14:paraId="60E13C13" w14:textId="77777777" w:rsidR="00805467" w:rsidRDefault="00805467" w:rsidP="00805467">
            <w:r>
              <w:t>Select Spectra</w:t>
            </w:r>
          </w:p>
        </w:tc>
        <w:tc>
          <w:tcPr>
            <w:tcW w:w="7135" w:type="dxa"/>
          </w:tcPr>
          <w:p w14:paraId="3BCA9B97" w14:textId="77777777" w:rsidR="00805467" w:rsidRDefault="00805467" w:rsidP="0027120D">
            <w:pPr>
              <w:pStyle w:val="ListParagraph"/>
              <w:numPr>
                <w:ilvl w:val="0"/>
                <w:numId w:val="3"/>
              </w:numPr>
              <w:jc w:val="left"/>
            </w:pPr>
            <w:r>
              <w:t>Precursor mass 100 – 1000 Da</w:t>
            </w:r>
          </w:p>
          <w:p w14:paraId="66BFBEE7" w14:textId="77777777" w:rsidR="00805467" w:rsidRDefault="00805467" w:rsidP="0027120D">
            <w:pPr>
              <w:pStyle w:val="ListParagraph"/>
              <w:numPr>
                <w:ilvl w:val="0"/>
                <w:numId w:val="3"/>
              </w:numPr>
              <w:jc w:val="left"/>
            </w:pPr>
            <w:r>
              <w:t>Unrecognized mass analyser: FTMS</w:t>
            </w:r>
          </w:p>
          <w:p w14:paraId="650B95F5" w14:textId="77777777" w:rsidR="00805467" w:rsidRDefault="00805467" w:rsidP="0027120D">
            <w:pPr>
              <w:pStyle w:val="ListParagraph"/>
              <w:numPr>
                <w:ilvl w:val="0"/>
                <w:numId w:val="3"/>
              </w:numPr>
              <w:jc w:val="left"/>
            </w:pPr>
            <w:r>
              <w:t>Unrecognized activation: HCD</w:t>
            </w:r>
          </w:p>
          <w:p w14:paraId="0884C361" w14:textId="77777777" w:rsidR="00805467" w:rsidRDefault="00805467" w:rsidP="0027120D">
            <w:pPr>
              <w:jc w:val="left"/>
            </w:pPr>
          </w:p>
        </w:tc>
      </w:tr>
      <w:tr w:rsidR="00805467" w14:paraId="20087C22" w14:textId="77777777" w:rsidTr="006E0DD7">
        <w:tc>
          <w:tcPr>
            <w:tcW w:w="1937" w:type="dxa"/>
          </w:tcPr>
          <w:p w14:paraId="31D571E2" w14:textId="77777777" w:rsidR="00805467" w:rsidRPr="003F0529" w:rsidRDefault="00805467" w:rsidP="008C550B">
            <w:r w:rsidRPr="003F0529">
              <w:t xml:space="preserve">RT Alignment </w:t>
            </w:r>
          </w:p>
          <w:p w14:paraId="647EC444" w14:textId="77777777" w:rsidR="00805467" w:rsidRDefault="00805467" w:rsidP="00805467"/>
        </w:tc>
        <w:tc>
          <w:tcPr>
            <w:tcW w:w="7135" w:type="dxa"/>
          </w:tcPr>
          <w:p w14:paraId="6E3C4462" w14:textId="77777777" w:rsidR="00805467" w:rsidRPr="003F0529" w:rsidRDefault="00805467" w:rsidP="0027120D">
            <w:pPr>
              <w:pStyle w:val="ListParagraph"/>
              <w:numPr>
                <w:ilvl w:val="0"/>
                <w:numId w:val="3"/>
              </w:numPr>
              <w:jc w:val="left"/>
            </w:pPr>
            <w:r w:rsidRPr="003F0529">
              <w:t>Maximum shift 0.75 min</w:t>
            </w:r>
          </w:p>
          <w:p w14:paraId="19186215" w14:textId="77777777" w:rsidR="00805467" w:rsidRPr="003F0529" w:rsidRDefault="00805467" w:rsidP="0027120D">
            <w:pPr>
              <w:pStyle w:val="ListParagraph"/>
              <w:numPr>
                <w:ilvl w:val="0"/>
                <w:numId w:val="3"/>
              </w:numPr>
              <w:jc w:val="left"/>
            </w:pPr>
            <w:r w:rsidRPr="003F0529">
              <w:t>Mass tolerance 3 ppm</w:t>
            </w:r>
            <w:r w:rsidR="002E491C">
              <w:t xml:space="preserve"> (</w:t>
            </w:r>
            <w:proofErr w:type="spellStart"/>
            <w:r w:rsidR="002E491C">
              <w:t>pos</w:t>
            </w:r>
            <w:proofErr w:type="spellEnd"/>
            <w:r w:rsidR="002E491C">
              <w:t>) / 5 ppm (</w:t>
            </w:r>
            <w:proofErr w:type="spellStart"/>
            <w:r w:rsidR="002E491C">
              <w:t>neg</w:t>
            </w:r>
            <w:proofErr w:type="spellEnd"/>
            <w:r w:rsidR="002E491C">
              <w:t>)</w:t>
            </w:r>
          </w:p>
          <w:p w14:paraId="57778A7B" w14:textId="77777777" w:rsidR="00805467" w:rsidRDefault="00805467" w:rsidP="0027120D">
            <w:pPr>
              <w:jc w:val="left"/>
            </w:pPr>
          </w:p>
        </w:tc>
      </w:tr>
      <w:tr w:rsidR="00805467" w:rsidRPr="002E491C" w14:paraId="3748DFD9" w14:textId="77777777" w:rsidTr="006E0DD7">
        <w:tc>
          <w:tcPr>
            <w:tcW w:w="1937" w:type="dxa"/>
          </w:tcPr>
          <w:p w14:paraId="008EE9F7" w14:textId="77777777" w:rsidR="00805467" w:rsidRDefault="00805467" w:rsidP="0027120D">
            <w:pPr>
              <w:jc w:val="left"/>
            </w:pPr>
            <w:r>
              <w:t>Detect unknown compounds</w:t>
            </w:r>
          </w:p>
          <w:p w14:paraId="05B25265" w14:textId="77777777" w:rsidR="00805467" w:rsidRDefault="00805467" w:rsidP="00805467"/>
        </w:tc>
        <w:tc>
          <w:tcPr>
            <w:tcW w:w="7135" w:type="dxa"/>
          </w:tcPr>
          <w:p w14:paraId="250F9FDF" w14:textId="77777777" w:rsidR="008C550B" w:rsidRDefault="008C550B" w:rsidP="0027120D">
            <w:pPr>
              <w:pStyle w:val="ListParagraph"/>
              <w:numPr>
                <w:ilvl w:val="0"/>
                <w:numId w:val="3"/>
              </w:numPr>
              <w:jc w:val="left"/>
            </w:pPr>
            <w:r w:rsidRPr="003F0529">
              <w:t xml:space="preserve">3 </w:t>
            </w:r>
            <w:r>
              <w:t>ppm (</w:t>
            </w:r>
            <w:proofErr w:type="spellStart"/>
            <w:r>
              <w:t>pos</w:t>
            </w:r>
            <w:proofErr w:type="spellEnd"/>
            <w:r>
              <w:t>); 5 ppm (</w:t>
            </w:r>
            <w:proofErr w:type="spellStart"/>
            <w:r>
              <w:t>neg</w:t>
            </w:r>
            <w:proofErr w:type="spellEnd"/>
            <w:r>
              <w:t>)</w:t>
            </w:r>
          </w:p>
          <w:p w14:paraId="6374EF4E" w14:textId="77777777" w:rsidR="008C550B" w:rsidRDefault="008C550B" w:rsidP="0027120D">
            <w:pPr>
              <w:pStyle w:val="ListParagraph"/>
              <w:numPr>
                <w:ilvl w:val="0"/>
                <w:numId w:val="3"/>
              </w:numPr>
              <w:jc w:val="left"/>
            </w:pPr>
            <w:r>
              <w:t>30% intensity tolerance</w:t>
            </w:r>
          </w:p>
          <w:p w14:paraId="180D7438" w14:textId="77777777" w:rsidR="008C550B" w:rsidRDefault="008C550B" w:rsidP="0027120D">
            <w:pPr>
              <w:pStyle w:val="ListParagraph"/>
              <w:numPr>
                <w:ilvl w:val="0"/>
                <w:numId w:val="3"/>
              </w:numPr>
              <w:jc w:val="left"/>
            </w:pPr>
            <w:r>
              <w:t>S/N threshold 3</w:t>
            </w:r>
          </w:p>
          <w:p w14:paraId="71458F84" w14:textId="011EA7F9" w:rsidR="008C550B" w:rsidRDefault="008C550B" w:rsidP="00264432">
            <w:pPr>
              <w:pStyle w:val="ListParagraph"/>
              <w:numPr>
                <w:ilvl w:val="0"/>
                <w:numId w:val="3"/>
              </w:numPr>
              <w:jc w:val="left"/>
            </w:pPr>
            <w:r>
              <w:t xml:space="preserve">Min peak </w:t>
            </w:r>
            <w:r w:rsidRPr="008C550B">
              <w:t xml:space="preserve">intensity </w:t>
            </w:r>
            <w:r w:rsidR="002C6A77">
              <w:t>1</w:t>
            </w:r>
            <w:r w:rsidRPr="008C550B">
              <w:t>000 (</w:t>
            </w:r>
            <w:proofErr w:type="spellStart"/>
            <w:r w:rsidRPr="008C550B">
              <w:t>pos</w:t>
            </w:r>
            <w:proofErr w:type="spellEnd"/>
            <w:r w:rsidRPr="008C550B">
              <w:t>) and 500 (</w:t>
            </w:r>
            <w:proofErr w:type="spellStart"/>
            <w:r w:rsidRPr="008C550B">
              <w:t>neg</w:t>
            </w:r>
            <w:proofErr w:type="spellEnd"/>
            <w:r w:rsidRPr="00435B74">
              <w:t>)</w:t>
            </w:r>
            <w:r w:rsidR="00AA4DD8" w:rsidRPr="00264432">
              <w:rPr>
                <w:color w:val="4BACC6" w:themeColor="accent5"/>
              </w:rPr>
              <w:t xml:space="preserve"> </w:t>
            </w:r>
            <w:r>
              <w:t>Ions</w:t>
            </w:r>
          </w:p>
          <w:p w14:paraId="149FC0C7" w14:textId="77777777" w:rsidR="008C550B" w:rsidRPr="00606608" w:rsidRDefault="008C550B" w:rsidP="0027120D">
            <w:pPr>
              <w:pStyle w:val="ListParagraph"/>
              <w:numPr>
                <w:ilvl w:val="1"/>
                <w:numId w:val="3"/>
              </w:numPr>
              <w:jc w:val="left"/>
              <w:rPr>
                <w:lang w:val="it-IT"/>
              </w:rPr>
            </w:pPr>
            <w:r w:rsidRPr="00606608">
              <w:rPr>
                <w:lang w:val="it-IT"/>
              </w:rPr>
              <w:t>Positive: [M+</w:t>
            </w:r>
            <w:proofErr w:type="gramStart"/>
            <w:r w:rsidRPr="00606608">
              <w:rPr>
                <w:lang w:val="it-IT"/>
              </w:rPr>
              <w:t>H]+</w:t>
            </w:r>
            <w:proofErr w:type="gramEnd"/>
            <w:r w:rsidRPr="00606608">
              <w:rPr>
                <w:lang w:val="it-IT"/>
              </w:rPr>
              <w:t>1, [M+K]+1, [</w:t>
            </w:r>
            <w:proofErr w:type="spellStart"/>
            <w:r w:rsidRPr="00606608">
              <w:rPr>
                <w:lang w:val="it-IT"/>
              </w:rPr>
              <w:t>M+Na</w:t>
            </w:r>
            <w:proofErr w:type="spellEnd"/>
            <w:r w:rsidRPr="00606608">
              <w:rPr>
                <w:lang w:val="it-IT"/>
              </w:rPr>
              <w:t xml:space="preserve">]+1, [M+NH4]+1, [2M+H]+1, [M+2H]+2, [M-e]+1 </w:t>
            </w:r>
          </w:p>
          <w:p w14:paraId="4FB355A7" w14:textId="77777777" w:rsidR="008C550B" w:rsidRDefault="008C550B" w:rsidP="0027120D">
            <w:pPr>
              <w:pStyle w:val="ListParagraph"/>
              <w:numPr>
                <w:ilvl w:val="1"/>
                <w:numId w:val="3"/>
              </w:numPr>
              <w:jc w:val="left"/>
              <w:rPr>
                <w:lang w:val="it-IT"/>
              </w:rPr>
            </w:pPr>
            <w:r w:rsidRPr="00543635">
              <w:rPr>
                <w:lang w:val="it-IT"/>
              </w:rPr>
              <w:lastRenderedPageBreak/>
              <w:t>Negative: [M+FA-</w:t>
            </w:r>
            <w:proofErr w:type="gramStart"/>
            <w:r w:rsidRPr="00543635">
              <w:rPr>
                <w:lang w:val="it-IT"/>
              </w:rPr>
              <w:t>H</w:t>
            </w:r>
            <w:r>
              <w:rPr>
                <w:lang w:val="it-IT"/>
              </w:rPr>
              <w:t>]</w:t>
            </w:r>
            <w:r w:rsidRPr="00543635">
              <w:rPr>
                <w:lang w:val="it-IT"/>
              </w:rPr>
              <w:t>-</w:t>
            </w:r>
            <w:proofErr w:type="gramEnd"/>
            <w:r w:rsidRPr="00543635">
              <w:rPr>
                <w:lang w:val="it-IT"/>
              </w:rPr>
              <w:t>1, [</w:t>
            </w:r>
            <w:r>
              <w:rPr>
                <w:lang w:val="it-IT"/>
              </w:rPr>
              <w:t>2</w:t>
            </w:r>
            <w:r w:rsidRPr="00543635">
              <w:rPr>
                <w:lang w:val="it-IT"/>
              </w:rPr>
              <w:t>M+FA-H</w:t>
            </w:r>
            <w:r>
              <w:rPr>
                <w:lang w:val="it-IT"/>
              </w:rPr>
              <w:t>]</w:t>
            </w:r>
            <w:r w:rsidRPr="00543635">
              <w:rPr>
                <w:lang w:val="it-IT"/>
              </w:rPr>
              <w:t>-1</w:t>
            </w:r>
            <w:r>
              <w:rPr>
                <w:lang w:val="it-IT"/>
              </w:rPr>
              <w:t>,</w:t>
            </w:r>
            <w:r w:rsidRPr="00543635">
              <w:rPr>
                <w:lang w:val="it-IT"/>
              </w:rPr>
              <w:t xml:space="preserve"> [M-H]-1, </w:t>
            </w:r>
            <w:r>
              <w:rPr>
                <w:lang w:val="it-IT"/>
              </w:rPr>
              <w:t xml:space="preserve">[M-2H]-2, </w:t>
            </w:r>
            <w:r w:rsidRPr="00543635">
              <w:rPr>
                <w:lang w:val="it-IT"/>
              </w:rPr>
              <w:t>[</w:t>
            </w:r>
            <w:r>
              <w:rPr>
                <w:lang w:val="it-IT"/>
              </w:rPr>
              <w:t>2</w:t>
            </w:r>
            <w:r w:rsidRPr="00543635">
              <w:rPr>
                <w:lang w:val="it-IT"/>
              </w:rPr>
              <w:t>M-H]-1</w:t>
            </w:r>
          </w:p>
          <w:p w14:paraId="2DE9CCD3" w14:textId="77777777" w:rsidR="008C550B" w:rsidRDefault="008C550B" w:rsidP="0027120D">
            <w:pPr>
              <w:pStyle w:val="ListParagraph"/>
              <w:numPr>
                <w:ilvl w:val="0"/>
                <w:numId w:val="3"/>
              </w:numPr>
              <w:jc w:val="left"/>
              <w:rPr>
                <w:lang w:val="it-IT"/>
              </w:rPr>
            </w:pPr>
            <w:r>
              <w:rPr>
                <w:lang w:val="it-IT"/>
              </w:rPr>
              <w:t xml:space="preserve">Base </w:t>
            </w:r>
            <w:proofErr w:type="spellStart"/>
            <w:r>
              <w:rPr>
                <w:lang w:val="it-IT"/>
              </w:rPr>
              <w:t>Ions</w:t>
            </w:r>
            <w:proofErr w:type="spellEnd"/>
          </w:p>
          <w:p w14:paraId="7D63765E" w14:textId="77777777" w:rsidR="008C550B" w:rsidRDefault="008C550B" w:rsidP="0027120D">
            <w:pPr>
              <w:pStyle w:val="ListParagraph"/>
              <w:numPr>
                <w:ilvl w:val="1"/>
                <w:numId w:val="3"/>
              </w:numPr>
              <w:jc w:val="left"/>
            </w:pPr>
            <w:r w:rsidRPr="00E86041">
              <w:t>[M+H]+1</w:t>
            </w:r>
            <w:r>
              <w:t xml:space="preserve">, </w:t>
            </w:r>
            <w:r w:rsidRPr="00E86041">
              <w:t>[M+NH4]+1</w:t>
            </w:r>
            <w:r>
              <w:t xml:space="preserve"> (</w:t>
            </w:r>
            <w:proofErr w:type="spellStart"/>
            <w:r>
              <w:t>pos</w:t>
            </w:r>
            <w:proofErr w:type="spellEnd"/>
            <w:r>
              <w:t>) /</w:t>
            </w:r>
            <w:r w:rsidRPr="00654272">
              <w:t xml:space="preserve"> [M-H]-1 (</w:t>
            </w:r>
            <w:proofErr w:type="spellStart"/>
            <w:r w:rsidRPr="00654272">
              <w:t>neg</w:t>
            </w:r>
            <w:proofErr w:type="spellEnd"/>
            <w:r w:rsidRPr="00654272">
              <w:t>)</w:t>
            </w:r>
          </w:p>
          <w:p w14:paraId="6BC0EB6F" w14:textId="77777777" w:rsidR="008C550B" w:rsidRDefault="008C550B" w:rsidP="0027120D">
            <w:pPr>
              <w:pStyle w:val="ListParagraph"/>
              <w:numPr>
                <w:ilvl w:val="0"/>
                <w:numId w:val="3"/>
              </w:numPr>
              <w:jc w:val="left"/>
            </w:pPr>
            <w:r>
              <w:t>Filter Peaks: True</w:t>
            </w:r>
          </w:p>
          <w:p w14:paraId="6314E1C1" w14:textId="77777777" w:rsidR="008C550B" w:rsidRDefault="008C550B" w:rsidP="0027120D">
            <w:pPr>
              <w:pStyle w:val="ListParagraph"/>
              <w:numPr>
                <w:ilvl w:val="0"/>
                <w:numId w:val="3"/>
              </w:numPr>
              <w:jc w:val="left"/>
            </w:pPr>
            <w:r>
              <w:t>Max. Peak Width: 0.8 min</w:t>
            </w:r>
          </w:p>
          <w:p w14:paraId="3325A0A0" w14:textId="101EA0A0" w:rsidR="008C550B" w:rsidRDefault="008C550B" w:rsidP="0027120D">
            <w:pPr>
              <w:pStyle w:val="ListParagraph"/>
              <w:numPr>
                <w:ilvl w:val="0"/>
                <w:numId w:val="3"/>
              </w:numPr>
              <w:jc w:val="left"/>
            </w:pPr>
            <w:r>
              <w:t xml:space="preserve">Remove Singlets: </w:t>
            </w:r>
            <w:r w:rsidRPr="002C1917">
              <w:rPr>
                <w:b/>
              </w:rPr>
              <w:t>False</w:t>
            </w:r>
            <w:r w:rsidR="00AA4DD8" w:rsidRPr="002C1917">
              <w:rPr>
                <w:b/>
              </w:rPr>
              <w:t xml:space="preserve"> </w:t>
            </w:r>
          </w:p>
          <w:p w14:paraId="458FE919" w14:textId="0E37C3B2" w:rsidR="008C550B" w:rsidRDefault="008C550B" w:rsidP="0027120D">
            <w:pPr>
              <w:pStyle w:val="ListParagraph"/>
              <w:numPr>
                <w:ilvl w:val="0"/>
                <w:numId w:val="3"/>
              </w:numPr>
              <w:jc w:val="left"/>
            </w:pPr>
            <w:r>
              <w:t>Min Scans per Peak: 5</w:t>
            </w:r>
          </w:p>
          <w:p w14:paraId="3CEE4F28" w14:textId="4546CF90" w:rsidR="008C550B" w:rsidRDefault="008C550B" w:rsidP="0027120D">
            <w:pPr>
              <w:pStyle w:val="ListParagraph"/>
              <w:numPr>
                <w:ilvl w:val="0"/>
                <w:numId w:val="3"/>
              </w:numPr>
              <w:jc w:val="left"/>
            </w:pPr>
            <w:r>
              <w:t xml:space="preserve">Min. Isotopes: </w:t>
            </w:r>
            <w:r w:rsidRPr="002C1917">
              <w:rPr>
                <w:b/>
              </w:rPr>
              <w:t>1</w:t>
            </w:r>
            <w:r w:rsidR="00AA4DD8">
              <w:t xml:space="preserve"> </w:t>
            </w:r>
          </w:p>
          <w:p w14:paraId="1D5F7AAA" w14:textId="77777777" w:rsidR="002E491C" w:rsidRPr="002E491C" w:rsidRDefault="002E491C" w:rsidP="002E491C">
            <w:pPr>
              <w:pStyle w:val="ListParagraph"/>
              <w:numPr>
                <w:ilvl w:val="0"/>
                <w:numId w:val="3"/>
              </w:numPr>
              <w:jc w:val="left"/>
            </w:pPr>
            <w:r w:rsidRPr="002E491C">
              <w:t xml:space="preserve">Max. element counts: C90 H190 Br3 </w:t>
            </w:r>
            <w:r w:rsidRPr="002C1917">
              <w:t>Cl4 F6</w:t>
            </w:r>
            <w:r w:rsidRPr="002E491C">
              <w:t xml:space="preserve"> K2 N10 Na2 O18 P3 S5</w:t>
            </w:r>
          </w:p>
          <w:p w14:paraId="72F18A05" w14:textId="77777777" w:rsidR="00805467" w:rsidRPr="002E491C" w:rsidRDefault="00805467" w:rsidP="0027120D">
            <w:pPr>
              <w:jc w:val="left"/>
            </w:pPr>
          </w:p>
        </w:tc>
      </w:tr>
      <w:tr w:rsidR="00805467" w14:paraId="53557261" w14:textId="77777777" w:rsidTr="006E0DD7">
        <w:tc>
          <w:tcPr>
            <w:tcW w:w="1937" w:type="dxa"/>
          </w:tcPr>
          <w:p w14:paraId="01C04F65" w14:textId="77777777" w:rsidR="00805467" w:rsidRDefault="008C550B" w:rsidP="0027120D">
            <w:pPr>
              <w:jc w:val="left"/>
            </w:pPr>
            <w:r w:rsidRPr="00654272">
              <w:lastRenderedPageBreak/>
              <w:t>Merge Features</w:t>
            </w:r>
          </w:p>
        </w:tc>
        <w:tc>
          <w:tcPr>
            <w:tcW w:w="7135" w:type="dxa"/>
          </w:tcPr>
          <w:p w14:paraId="49B274B6" w14:textId="77777777" w:rsidR="008C550B" w:rsidRPr="00654272" w:rsidRDefault="008C550B" w:rsidP="0027120D">
            <w:pPr>
              <w:pStyle w:val="ListParagraph"/>
              <w:numPr>
                <w:ilvl w:val="0"/>
                <w:numId w:val="3"/>
              </w:numPr>
              <w:jc w:val="left"/>
            </w:pPr>
            <w:r w:rsidRPr="00654272">
              <w:t>3 ppm</w:t>
            </w:r>
            <w:r>
              <w:t xml:space="preserve"> (</w:t>
            </w:r>
            <w:proofErr w:type="spellStart"/>
            <w:r>
              <w:t>pos</w:t>
            </w:r>
            <w:proofErr w:type="spellEnd"/>
            <w:r>
              <w:t>), 5 ppm (</w:t>
            </w:r>
            <w:proofErr w:type="spellStart"/>
            <w:r>
              <w:t>neg</w:t>
            </w:r>
            <w:proofErr w:type="spellEnd"/>
            <w:r>
              <w:t>)</w:t>
            </w:r>
          </w:p>
          <w:p w14:paraId="5E344B9A" w14:textId="77777777" w:rsidR="008C550B" w:rsidRPr="003F0529" w:rsidRDefault="008C550B" w:rsidP="0027120D">
            <w:pPr>
              <w:pStyle w:val="ListParagraph"/>
              <w:numPr>
                <w:ilvl w:val="0"/>
                <w:numId w:val="3"/>
              </w:numPr>
              <w:jc w:val="left"/>
            </w:pPr>
            <w:r w:rsidRPr="003F0529">
              <w:t>RT Tolerance 0.</w:t>
            </w:r>
            <w:r>
              <w:t>75</w:t>
            </w:r>
            <w:r w:rsidRPr="003F0529">
              <w:t xml:space="preserve"> min</w:t>
            </w:r>
          </w:p>
          <w:p w14:paraId="1745297E" w14:textId="77777777" w:rsidR="00805467" w:rsidRDefault="00805467" w:rsidP="0027120D">
            <w:pPr>
              <w:jc w:val="left"/>
            </w:pPr>
          </w:p>
        </w:tc>
      </w:tr>
      <w:tr w:rsidR="00805467" w14:paraId="4A3D2847" w14:textId="77777777" w:rsidTr="006E0DD7">
        <w:tc>
          <w:tcPr>
            <w:tcW w:w="1937" w:type="dxa"/>
          </w:tcPr>
          <w:p w14:paraId="1011E881" w14:textId="77777777" w:rsidR="00805467" w:rsidRDefault="008C550B" w:rsidP="0027120D">
            <w:r w:rsidRPr="003F0529">
              <w:t>Group Unknown compounds</w:t>
            </w:r>
          </w:p>
        </w:tc>
        <w:tc>
          <w:tcPr>
            <w:tcW w:w="7135" w:type="dxa"/>
          </w:tcPr>
          <w:p w14:paraId="1A115A9B" w14:textId="77777777" w:rsidR="002E491C" w:rsidRPr="00654272" w:rsidRDefault="002E491C" w:rsidP="002E491C">
            <w:pPr>
              <w:pStyle w:val="ListParagraph"/>
              <w:numPr>
                <w:ilvl w:val="0"/>
                <w:numId w:val="3"/>
              </w:numPr>
              <w:jc w:val="left"/>
            </w:pPr>
            <w:r w:rsidRPr="00654272">
              <w:t>3 ppm</w:t>
            </w:r>
            <w:r>
              <w:t xml:space="preserve"> (</w:t>
            </w:r>
            <w:proofErr w:type="spellStart"/>
            <w:r>
              <w:t>pos</w:t>
            </w:r>
            <w:proofErr w:type="spellEnd"/>
            <w:r>
              <w:t>), 5 ppm (</w:t>
            </w:r>
            <w:proofErr w:type="spellStart"/>
            <w:r>
              <w:t>neg</w:t>
            </w:r>
            <w:proofErr w:type="spellEnd"/>
            <w:r>
              <w:t>)</w:t>
            </w:r>
          </w:p>
          <w:p w14:paraId="26CDB990" w14:textId="77777777" w:rsidR="008C550B" w:rsidRPr="003F0529" w:rsidRDefault="008C550B" w:rsidP="0027120D">
            <w:pPr>
              <w:pStyle w:val="ListParagraph"/>
              <w:numPr>
                <w:ilvl w:val="0"/>
                <w:numId w:val="3"/>
              </w:numPr>
              <w:jc w:val="left"/>
            </w:pPr>
            <w:r>
              <w:t>0.75</w:t>
            </w:r>
            <w:r w:rsidRPr="003F0529">
              <w:t xml:space="preserve"> min RT Tolerance</w:t>
            </w:r>
          </w:p>
          <w:p w14:paraId="3D548734" w14:textId="77777777" w:rsidR="008C550B" w:rsidRDefault="008C550B" w:rsidP="0027120D">
            <w:pPr>
              <w:pStyle w:val="ListParagraph"/>
              <w:numPr>
                <w:ilvl w:val="0"/>
                <w:numId w:val="3"/>
              </w:numPr>
              <w:jc w:val="left"/>
            </w:pPr>
            <w:r w:rsidRPr="00DB0765">
              <w:t xml:space="preserve">Preferred Ions </w:t>
            </w:r>
            <w:r>
              <w:t>[M+H]+1, [M+K]+1, [</w:t>
            </w:r>
            <w:proofErr w:type="spellStart"/>
            <w:r>
              <w:t>M+Na</w:t>
            </w:r>
            <w:proofErr w:type="spellEnd"/>
            <w:r>
              <w:t>]+1, [M+NH4]+1 (</w:t>
            </w:r>
            <w:proofErr w:type="spellStart"/>
            <w:r>
              <w:t>pos</w:t>
            </w:r>
            <w:proofErr w:type="spellEnd"/>
            <w:r>
              <w:t>) / [M-H]-1 (</w:t>
            </w:r>
            <w:proofErr w:type="spellStart"/>
            <w:r>
              <w:t>neg</w:t>
            </w:r>
            <w:proofErr w:type="spellEnd"/>
            <w:r>
              <w:t>)</w:t>
            </w:r>
          </w:p>
          <w:p w14:paraId="6ED3B113" w14:textId="77777777" w:rsidR="00805467" w:rsidRDefault="00805467" w:rsidP="0027120D">
            <w:pPr>
              <w:jc w:val="left"/>
            </w:pPr>
          </w:p>
        </w:tc>
      </w:tr>
      <w:tr w:rsidR="008C550B" w14:paraId="5C22756F" w14:textId="77777777" w:rsidTr="006E0DD7">
        <w:tc>
          <w:tcPr>
            <w:tcW w:w="1937" w:type="dxa"/>
          </w:tcPr>
          <w:p w14:paraId="273F07BB" w14:textId="77777777" w:rsidR="008C550B" w:rsidRDefault="008C550B" w:rsidP="0027120D">
            <w:r>
              <w:t>Search Mass Lists</w:t>
            </w:r>
          </w:p>
        </w:tc>
        <w:tc>
          <w:tcPr>
            <w:tcW w:w="7135" w:type="dxa"/>
          </w:tcPr>
          <w:p w14:paraId="381865E7" w14:textId="77777777" w:rsidR="008C550B" w:rsidRDefault="00AA4DD8" w:rsidP="0027120D">
            <w:pPr>
              <w:pStyle w:val="ListParagraph"/>
              <w:numPr>
                <w:ilvl w:val="0"/>
                <w:numId w:val="3"/>
              </w:numPr>
              <w:jc w:val="left"/>
            </w:pPr>
            <w:r>
              <w:t>L</w:t>
            </w:r>
            <w:r w:rsidR="0027120D">
              <w:t>ists</w:t>
            </w:r>
            <w:r>
              <w:t xml:space="preserve"> with targets, ILIS and suspects</w:t>
            </w:r>
          </w:p>
          <w:p w14:paraId="1B0A2803" w14:textId="77777777" w:rsidR="0027120D" w:rsidRDefault="0027120D" w:rsidP="0027120D">
            <w:pPr>
              <w:pStyle w:val="ListParagraph"/>
              <w:numPr>
                <w:ilvl w:val="0"/>
                <w:numId w:val="3"/>
              </w:numPr>
              <w:jc w:val="left"/>
            </w:pPr>
            <w:r>
              <w:t>RT TRUE</w:t>
            </w:r>
          </w:p>
          <w:p w14:paraId="6FADAD70" w14:textId="77777777" w:rsidR="0027120D" w:rsidRDefault="0027120D" w:rsidP="0027120D">
            <w:pPr>
              <w:pStyle w:val="ListParagraph"/>
              <w:numPr>
                <w:ilvl w:val="0"/>
                <w:numId w:val="3"/>
              </w:numPr>
              <w:jc w:val="left"/>
            </w:pPr>
            <w:r>
              <w:t>RT Tolerance 2 min</w:t>
            </w:r>
          </w:p>
          <w:p w14:paraId="74E3A449" w14:textId="77777777" w:rsidR="0027120D" w:rsidRPr="003F0529" w:rsidRDefault="0027120D" w:rsidP="0027120D">
            <w:pPr>
              <w:pStyle w:val="ListParagraph"/>
              <w:numPr>
                <w:ilvl w:val="0"/>
                <w:numId w:val="3"/>
              </w:numPr>
              <w:jc w:val="left"/>
            </w:pPr>
            <w:r>
              <w:t>Mass Tolerance 3 ppm (</w:t>
            </w:r>
            <w:proofErr w:type="spellStart"/>
            <w:r>
              <w:t>pos</w:t>
            </w:r>
            <w:proofErr w:type="spellEnd"/>
            <w:r>
              <w:t>), 5 ppm (</w:t>
            </w:r>
            <w:proofErr w:type="spellStart"/>
            <w:r>
              <w:t>neg</w:t>
            </w:r>
            <w:proofErr w:type="spellEnd"/>
            <w:r>
              <w:t>)</w:t>
            </w:r>
          </w:p>
        </w:tc>
      </w:tr>
      <w:tr w:rsidR="008C550B" w14:paraId="42A9C9BC" w14:textId="77777777" w:rsidTr="006E0DD7">
        <w:tc>
          <w:tcPr>
            <w:tcW w:w="1937" w:type="dxa"/>
          </w:tcPr>
          <w:p w14:paraId="31001956" w14:textId="77777777" w:rsidR="008C550B" w:rsidRDefault="0027120D" w:rsidP="0027120D">
            <w:pPr>
              <w:rPr>
                <w:noProof/>
                <w:lang w:eastAsia="de-CH"/>
              </w:rPr>
            </w:pPr>
            <w:r>
              <w:rPr>
                <w:noProof/>
                <w:lang w:eastAsia="de-CH"/>
              </w:rPr>
              <w:t>Assign Compound Annotations</w:t>
            </w:r>
          </w:p>
        </w:tc>
        <w:tc>
          <w:tcPr>
            <w:tcW w:w="7135" w:type="dxa"/>
          </w:tcPr>
          <w:p w14:paraId="6BD8D54D" w14:textId="77777777" w:rsidR="0027120D" w:rsidRDefault="0027120D" w:rsidP="0027120D">
            <w:pPr>
              <w:pStyle w:val="ListParagraph"/>
              <w:numPr>
                <w:ilvl w:val="0"/>
                <w:numId w:val="3"/>
              </w:numPr>
              <w:jc w:val="left"/>
              <w:rPr>
                <w:noProof/>
                <w:lang w:eastAsia="de-CH"/>
              </w:rPr>
            </w:pPr>
            <w:r>
              <w:t>3 ppm (</w:t>
            </w:r>
            <w:proofErr w:type="spellStart"/>
            <w:r>
              <w:t>pos</w:t>
            </w:r>
            <w:proofErr w:type="spellEnd"/>
            <w:r>
              <w:t>), 5 ppm (</w:t>
            </w:r>
            <w:proofErr w:type="spellStart"/>
            <w:r>
              <w:t>neg</w:t>
            </w:r>
            <w:proofErr w:type="spellEnd"/>
            <w:r>
              <w:t>)</w:t>
            </w:r>
          </w:p>
          <w:p w14:paraId="787BDBBD" w14:textId="77777777" w:rsidR="008C550B" w:rsidRPr="003F0529" w:rsidRDefault="008C550B" w:rsidP="0027120D"/>
        </w:tc>
      </w:tr>
      <w:tr w:rsidR="008C550B" w14:paraId="76030A82" w14:textId="77777777" w:rsidTr="006E0DD7">
        <w:tc>
          <w:tcPr>
            <w:tcW w:w="1937" w:type="dxa"/>
          </w:tcPr>
          <w:p w14:paraId="06AD16AE" w14:textId="77777777" w:rsidR="008C550B" w:rsidRDefault="0027120D" w:rsidP="0027120D">
            <w:pPr>
              <w:rPr>
                <w:noProof/>
                <w:lang w:eastAsia="de-CH"/>
              </w:rPr>
            </w:pPr>
            <w:r>
              <w:rPr>
                <w:noProof/>
                <w:lang w:eastAsia="de-CH"/>
              </w:rPr>
              <w:t>Mark Background Compounds if…</w:t>
            </w:r>
          </w:p>
        </w:tc>
        <w:tc>
          <w:tcPr>
            <w:tcW w:w="7135" w:type="dxa"/>
          </w:tcPr>
          <w:p w14:paraId="394BBB79" w14:textId="77777777" w:rsidR="0027120D" w:rsidRDefault="0027120D" w:rsidP="0027120D">
            <w:pPr>
              <w:pStyle w:val="ListParagraph"/>
              <w:numPr>
                <w:ilvl w:val="0"/>
                <w:numId w:val="3"/>
              </w:numPr>
              <w:jc w:val="left"/>
              <w:rPr>
                <w:noProof/>
                <w:lang w:eastAsia="de-CH"/>
              </w:rPr>
            </w:pPr>
            <w:r>
              <w:rPr>
                <w:noProof/>
                <w:lang w:eastAsia="de-CH"/>
              </w:rPr>
              <w:t>Max. Sample/</w:t>
            </w:r>
            <w:r w:rsidRPr="00B711B7">
              <w:rPr>
                <w:noProof/>
                <w:lang w:eastAsia="de-CH"/>
              </w:rPr>
              <w:t xml:space="preserve">Blank </w:t>
            </w:r>
            <w:r>
              <w:rPr>
                <w:noProof/>
                <w:lang w:eastAsia="de-CH"/>
              </w:rPr>
              <w:t>3</w:t>
            </w:r>
          </w:p>
          <w:p w14:paraId="2963D585" w14:textId="77777777" w:rsidR="008C550B" w:rsidRPr="003F0529" w:rsidRDefault="002E491C" w:rsidP="002E491C">
            <w:pPr>
              <w:pStyle w:val="ListParagraph"/>
              <w:numPr>
                <w:ilvl w:val="0"/>
                <w:numId w:val="3"/>
              </w:numPr>
              <w:jc w:val="left"/>
            </w:pPr>
            <w:r>
              <w:rPr>
                <w:noProof/>
                <w:lang w:eastAsia="de-CH"/>
              </w:rPr>
              <w:t>Hide Background: False</w:t>
            </w:r>
          </w:p>
        </w:tc>
      </w:tr>
      <w:tr w:rsidR="008C550B" w14:paraId="57E44465" w14:textId="77777777" w:rsidTr="006E0DD7">
        <w:tc>
          <w:tcPr>
            <w:tcW w:w="1937" w:type="dxa"/>
          </w:tcPr>
          <w:p w14:paraId="6DB70A18" w14:textId="77777777" w:rsidR="008C550B" w:rsidRDefault="0027120D" w:rsidP="009F0707">
            <w:r>
              <w:t>Predict Composition</w:t>
            </w:r>
            <w:r w:rsidR="009F0707">
              <w:t>s</w:t>
            </w:r>
          </w:p>
        </w:tc>
        <w:tc>
          <w:tcPr>
            <w:tcW w:w="7135" w:type="dxa"/>
          </w:tcPr>
          <w:p w14:paraId="220B3813" w14:textId="77777777" w:rsidR="0027120D" w:rsidRDefault="0027120D" w:rsidP="002E491C">
            <w:pPr>
              <w:pStyle w:val="ListParagraph"/>
              <w:numPr>
                <w:ilvl w:val="0"/>
                <w:numId w:val="3"/>
              </w:numPr>
              <w:jc w:val="left"/>
            </w:pPr>
            <w:r>
              <w:t xml:space="preserve">Mass tolerance </w:t>
            </w:r>
            <w:r w:rsidR="002E491C" w:rsidRPr="00654272">
              <w:t>3 ppm</w:t>
            </w:r>
            <w:r w:rsidR="002E491C">
              <w:t xml:space="preserve"> (</w:t>
            </w:r>
            <w:proofErr w:type="spellStart"/>
            <w:r w:rsidR="002E491C">
              <w:t>pos</w:t>
            </w:r>
            <w:proofErr w:type="spellEnd"/>
            <w:r w:rsidR="002E491C">
              <w:t>), 5 ppm (</w:t>
            </w:r>
            <w:proofErr w:type="spellStart"/>
            <w:r w:rsidR="002E491C">
              <w:t>neg</w:t>
            </w:r>
            <w:proofErr w:type="spellEnd"/>
            <w:r w:rsidR="002E491C">
              <w:t>)</w:t>
            </w:r>
          </w:p>
          <w:p w14:paraId="23730666" w14:textId="77777777" w:rsidR="002E491C" w:rsidRDefault="002E491C" w:rsidP="002E491C">
            <w:pPr>
              <w:pStyle w:val="ListParagraph"/>
              <w:numPr>
                <w:ilvl w:val="0"/>
                <w:numId w:val="3"/>
              </w:numPr>
              <w:jc w:val="left"/>
            </w:pPr>
            <w:r>
              <w:t>S/N Threshold 3</w:t>
            </w:r>
          </w:p>
          <w:p w14:paraId="0EC93433" w14:textId="77777777" w:rsidR="008C550B" w:rsidRPr="003F0529" w:rsidRDefault="0027120D" w:rsidP="002C6A77">
            <w:pPr>
              <w:pStyle w:val="ListParagraph"/>
              <w:numPr>
                <w:ilvl w:val="0"/>
                <w:numId w:val="3"/>
              </w:numPr>
              <w:jc w:val="left"/>
            </w:pPr>
            <w:r>
              <w:t xml:space="preserve">Mass tolerance for fragments matching: </w:t>
            </w:r>
            <w:r w:rsidR="002C6A77">
              <w:t>10</w:t>
            </w:r>
            <w:r>
              <w:t xml:space="preserve"> ppm </w:t>
            </w:r>
          </w:p>
        </w:tc>
      </w:tr>
    </w:tbl>
    <w:p w14:paraId="6B20B58C" w14:textId="77777777" w:rsidR="00805467" w:rsidRDefault="00805467">
      <w:pPr>
        <w:jc w:val="left"/>
      </w:pPr>
    </w:p>
    <w:p w14:paraId="60E1BA69" w14:textId="18390A36" w:rsidR="00D1018F" w:rsidRDefault="003744F8">
      <w:pPr>
        <w:jc w:val="left"/>
        <w:rPr>
          <w:b/>
        </w:rPr>
      </w:pPr>
      <w:r>
        <w:rPr>
          <w:b/>
        </w:rPr>
        <w:t>RT P</w:t>
      </w:r>
      <w:r w:rsidR="00D1018F" w:rsidRPr="00D1018F">
        <w:rPr>
          <w:b/>
        </w:rPr>
        <w:t>rediction</w:t>
      </w:r>
    </w:p>
    <w:p w14:paraId="4EB94667" w14:textId="2F5E574F" w:rsidR="008F4107" w:rsidRDefault="00976D6A" w:rsidP="008F4107">
      <w:r>
        <w:t>Each suspect hit was evaluated regarding the plausibility of the RT</w:t>
      </w:r>
      <w:r w:rsidR="008F4107">
        <w:t xml:space="preserve"> using a simple RT prediction model based on the </w:t>
      </w:r>
      <w:proofErr w:type="spellStart"/>
      <w:r w:rsidR="008F4107">
        <w:t>logD</w:t>
      </w:r>
      <w:proofErr w:type="spellEnd"/>
      <w:r>
        <w:t xml:space="preserve">. </w:t>
      </w:r>
      <w:r w:rsidR="002C1917">
        <w:t xml:space="preserve">The </w:t>
      </w:r>
      <w:proofErr w:type="spellStart"/>
      <w:r w:rsidR="002C1917">
        <w:t>l</w:t>
      </w:r>
      <w:r w:rsidR="008F4107">
        <w:t>ogD</w:t>
      </w:r>
      <w:proofErr w:type="spellEnd"/>
      <w:r w:rsidR="008F4107">
        <w:t xml:space="preserve"> values were predicted at pH 3 (theoretical pH of LC eluents) with </w:t>
      </w:r>
      <w:proofErr w:type="spellStart"/>
      <w:r w:rsidR="00D52CB9">
        <w:t>JChem</w:t>
      </w:r>
      <w:proofErr w:type="spellEnd"/>
      <w:r w:rsidR="00D52CB9">
        <w:t xml:space="preserve"> for Excel (Version 17.1.2300.1455; </w:t>
      </w:r>
      <w:proofErr w:type="spellStart"/>
      <w:r w:rsidR="00D52CB9">
        <w:t>ChemAxon</w:t>
      </w:r>
      <w:proofErr w:type="spellEnd"/>
      <w:r w:rsidR="00D52CB9">
        <w:t xml:space="preserve"> Ltd.) </w:t>
      </w:r>
      <w:r w:rsidR="008F4107">
        <w:t>for 615 target</w:t>
      </w:r>
      <w:r w:rsidR="005B5EEF">
        <w:t>s</w:t>
      </w:r>
      <w:r w:rsidR="008F4107">
        <w:t xml:space="preserve"> </w:t>
      </w:r>
      <w:r w:rsidR="005B5EEF">
        <w:t>and ILIS</w:t>
      </w:r>
      <w:r w:rsidR="008F4107">
        <w:t xml:space="preserve">. </w:t>
      </w:r>
      <w:r w:rsidR="00241A39">
        <w:t>Then, a linear model was fitted (</w:t>
      </w:r>
      <w:r w:rsidR="00241A39">
        <w:fldChar w:fldCharType="begin"/>
      </w:r>
      <w:r w:rsidR="00241A39">
        <w:instrText xml:space="preserve"> REF _Ref522699790 \h </w:instrText>
      </w:r>
      <w:r w:rsidR="00241A39">
        <w:fldChar w:fldCharType="separate"/>
      </w:r>
      <w:r w:rsidR="00181B0F">
        <w:t xml:space="preserve">Figure SI-A </w:t>
      </w:r>
      <w:r w:rsidR="00181B0F">
        <w:rPr>
          <w:noProof/>
        </w:rPr>
        <w:t>3</w:t>
      </w:r>
      <w:r w:rsidR="00241A39">
        <w:fldChar w:fldCharType="end"/>
      </w:r>
      <w:r w:rsidR="00241A39">
        <w:t>) and suspect RTs were predicted from their logD</w:t>
      </w:r>
      <w:r w:rsidR="00D52CB9" w:rsidRPr="00D52CB9">
        <w:rPr>
          <w:vertAlign w:val="subscript"/>
        </w:rPr>
        <w:t>pH3</w:t>
      </w:r>
      <w:r w:rsidR="00241A39">
        <w:t xml:space="preserve"> </w:t>
      </w:r>
      <w:r w:rsidR="00151D6B">
        <w:t>using R</w:t>
      </w:r>
      <w:r w:rsidR="00D52CB9">
        <w:t xml:space="preserve"> </w:t>
      </w:r>
      <w:r w:rsidR="00D52CB9">
        <w:fldChar w:fldCharType="begin"/>
      </w:r>
      <w:r w:rsidR="0029342B">
        <w:instrText xml:space="preserve"> ADDIN EN.CITE &lt;EndNote&gt;&lt;Cite&gt;&lt;Author&gt;R Core Team&lt;/Author&gt;&lt;Year&gt;2016&lt;/Year&gt;&lt;RecNum&gt;164&lt;/RecNum&gt;&lt;DisplayText&gt;(R Core Team 2016)&lt;/DisplayText&gt;&lt;record&gt;&lt;rec-number&gt;164&lt;/rec-number&gt;&lt;foreign-keys&gt;&lt;key app="EN" db-id="5txd5e0ztarddres5a15522yswtpasezvzvx" timestamp="1489745103"&gt;164&lt;/key&gt;&lt;/foreign-keys&gt;&lt;ref-type name="Computer Program"&gt;9&lt;/ref-type&gt;&lt;contributors&gt;&lt;authors&gt;&lt;author&gt;R Core Team,&lt;/author&gt;&lt;/authors&gt;&lt;/contributors&gt;&lt;titles&gt;&lt;title&gt;R: A language and environment for statistical computing&lt;/title&gt;&lt;/titles&gt;&lt;dates&gt;&lt;year&gt;2016&lt;/year&gt;&lt;/dates&gt;&lt;publisher&gt;R Foundation for Statistical Computing, Vienna, Austria&lt;/publisher&gt;&lt;urls&gt;&lt;related-urls&gt;&lt;url&gt;&lt;style face="underline" font="default" size="100%"&gt;https://www.R-project.org/&lt;/style&gt;&lt;/url&gt;&lt;/related-urls&gt;&lt;/urls&gt;&lt;/record&gt;&lt;/Cite&gt;&lt;/EndNote&gt;</w:instrText>
      </w:r>
      <w:r w:rsidR="00D52CB9">
        <w:fldChar w:fldCharType="separate"/>
      </w:r>
      <w:r w:rsidR="00D52CB9">
        <w:rPr>
          <w:noProof/>
        </w:rPr>
        <w:t>(R Core Team 2016)</w:t>
      </w:r>
      <w:r w:rsidR="00D52CB9">
        <w:fldChar w:fldCharType="end"/>
      </w:r>
      <w:r w:rsidR="00241A39">
        <w:t>.</w:t>
      </w:r>
      <w:r w:rsidR="007F3ED0">
        <w:t xml:space="preserve"> Suspect h</w:t>
      </w:r>
      <w:r w:rsidR="00151D6B">
        <w:t>its were considered as unlikely, and therefore, excluded</w:t>
      </w:r>
      <w:r w:rsidR="000102AC">
        <w:t>,</w:t>
      </w:r>
      <w:r w:rsidR="00151D6B">
        <w:t xml:space="preserve"> if</w:t>
      </w:r>
      <w:r w:rsidR="007F3ED0">
        <w:t xml:space="preserve"> measured and predicted RT differed more than 10 min.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F762D" w14:paraId="0529E766" w14:textId="77777777" w:rsidTr="00486084">
        <w:tc>
          <w:tcPr>
            <w:tcW w:w="9072" w:type="dxa"/>
          </w:tcPr>
          <w:p w14:paraId="7C69ED57" w14:textId="77777777" w:rsidR="008F4107" w:rsidRDefault="00CF762D" w:rsidP="008F4107">
            <w:pPr>
              <w:keepNext/>
              <w:jc w:val="center"/>
            </w:pPr>
            <w:r>
              <w:rPr>
                <w:noProof/>
                <w:lang w:val="de-CH" w:eastAsia="de-CH"/>
              </w:rPr>
              <w:lastRenderedPageBreak/>
              <w:drawing>
                <wp:inline distT="0" distB="0" distL="0" distR="0" wp14:anchorId="20021D3F" wp14:editId="0C28C12D">
                  <wp:extent cx="3960000" cy="396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_prediction_JClogDpH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0000" cy="3960000"/>
                          </a:xfrm>
                          <a:prstGeom prst="rect">
                            <a:avLst/>
                          </a:prstGeom>
                        </pic:spPr>
                      </pic:pic>
                    </a:graphicData>
                  </a:graphic>
                </wp:inline>
              </w:drawing>
            </w:r>
          </w:p>
          <w:p w14:paraId="06C315D9" w14:textId="3ED25617" w:rsidR="00CF762D" w:rsidRDefault="008F4107" w:rsidP="00622B98">
            <w:pPr>
              <w:pStyle w:val="Caption"/>
            </w:pPr>
            <w:bookmarkStart w:id="7" w:name="_Ref522699790"/>
            <w:r>
              <w:t xml:space="preserve">Figure SI-A </w:t>
            </w:r>
            <w:r>
              <w:fldChar w:fldCharType="begin"/>
            </w:r>
            <w:r>
              <w:instrText xml:space="preserve"> SEQ Figure_SI-A \* ARABIC </w:instrText>
            </w:r>
            <w:r>
              <w:fldChar w:fldCharType="separate"/>
            </w:r>
            <w:r w:rsidR="00181B0F">
              <w:rPr>
                <w:noProof/>
              </w:rPr>
              <w:t>3</w:t>
            </w:r>
            <w:r>
              <w:fldChar w:fldCharType="end"/>
            </w:r>
            <w:bookmarkEnd w:id="7"/>
            <w:r>
              <w:t xml:space="preserve">: Linear RT prediction model based on </w:t>
            </w:r>
            <w:proofErr w:type="spellStart"/>
            <w:r>
              <w:t>logD</w:t>
            </w:r>
            <w:proofErr w:type="spellEnd"/>
            <w:r>
              <w:t xml:space="preserve"> values of 615 target compounds.</w:t>
            </w:r>
          </w:p>
        </w:tc>
      </w:tr>
    </w:tbl>
    <w:p w14:paraId="339EE50F" w14:textId="77777777" w:rsidR="00CF762D" w:rsidRDefault="00CF762D">
      <w:pPr>
        <w:jc w:val="left"/>
      </w:pPr>
    </w:p>
    <w:p w14:paraId="71C64258" w14:textId="33167798" w:rsidR="00D1018F" w:rsidRDefault="005168DF">
      <w:pPr>
        <w:jc w:val="left"/>
        <w:rPr>
          <w:b/>
        </w:rPr>
      </w:pPr>
      <w:r w:rsidRPr="003744F8">
        <w:rPr>
          <w:b/>
        </w:rPr>
        <w:t xml:space="preserve">In </w:t>
      </w:r>
      <w:proofErr w:type="spellStart"/>
      <w:r w:rsidR="00D1018F" w:rsidRPr="003744F8">
        <w:rPr>
          <w:b/>
        </w:rPr>
        <w:t>silico</w:t>
      </w:r>
      <w:proofErr w:type="spellEnd"/>
      <w:r w:rsidR="00D1018F" w:rsidRPr="00D1018F">
        <w:rPr>
          <w:b/>
        </w:rPr>
        <w:t xml:space="preserve"> </w:t>
      </w:r>
      <w:r w:rsidR="003744F8">
        <w:rPr>
          <w:b/>
        </w:rPr>
        <w:t>F</w:t>
      </w:r>
      <w:r w:rsidR="00D1018F" w:rsidRPr="00D1018F">
        <w:rPr>
          <w:b/>
        </w:rPr>
        <w:t xml:space="preserve">ragmentation with </w:t>
      </w:r>
      <w:proofErr w:type="spellStart"/>
      <w:r w:rsidR="00D1018F" w:rsidRPr="00D1018F">
        <w:rPr>
          <w:b/>
        </w:rPr>
        <w:t>MetFrag</w:t>
      </w:r>
      <w:proofErr w:type="spellEnd"/>
    </w:p>
    <w:p w14:paraId="5DEC1843" w14:textId="261DC3E4" w:rsidR="003744F8" w:rsidRDefault="005168DF" w:rsidP="007643BD">
      <w:r>
        <w:t xml:space="preserve">The in </w:t>
      </w:r>
      <w:proofErr w:type="spellStart"/>
      <w:r w:rsidR="005B5EEF">
        <w:t>silico</w:t>
      </w:r>
      <w:proofErr w:type="spellEnd"/>
      <w:r w:rsidR="005B5EEF">
        <w:t xml:space="preserve"> </w:t>
      </w:r>
      <w:proofErr w:type="spellStart"/>
      <w:r w:rsidR="005B5EEF">
        <w:t>fragmenter</w:t>
      </w:r>
      <w:proofErr w:type="spellEnd"/>
      <w:r w:rsidR="005B5EEF">
        <w:t xml:space="preserve"> </w:t>
      </w:r>
      <w:proofErr w:type="spellStart"/>
      <w:r w:rsidR="005B5EEF">
        <w:t>MetFrag</w:t>
      </w:r>
      <w:proofErr w:type="spellEnd"/>
      <w:r w:rsidR="005B5EEF">
        <w:t xml:space="preserve"> was used t</w:t>
      </w:r>
      <w:r w:rsidR="00151D6B">
        <w:t>o test if the annotated suspect structures</w:t>
      </w:r>
      <w:r w:rsidR="005B5EEF">
        <w:t xml:space="preserve"> </w:t>
      </w:r>
      <w:r w:rsidR="009224EA">
        <w:t xml:space="preserve">could </w:t>
      </w:r>
      <w:r w:rsidR="005B5EEF">
        <w:t>explain measured MS/MS fragments. Using an internal R script</w:t>
      </w:r>
      <w:r w:rsidR="00974BF2">
        <w:t>,</w:t>
      </w:r>
      <w:r w:rsidR="005B5EEF">
        <w:t xml:space="preserve"> </w:t>
      </w:r>
      <w:proofErr w:type="spellStart"/>
      <w:r w:rsidR="005B5EEF">
        <w:t>MetFrag</w:t>
      </w:r>
      <w:proofErr w:type="spellEnd"/>
      <w:r w:rsidR="005B5EEF">
        <w:t xml:space="preserve"> CL 2.4.2 was run in batch mode. First</w:t>
      </w:r>
      <w:r w:rsidR="00974BF2">
        <w:t>,</w:t>
      </w:r>
      <w:r w:rsidR="005B5EEF">
        <w:t xml:space="preserve"> the MS/MS spectra were extracted from .</w:t>
      </w:r>
      <w:proofErr w:type="spellStart"/>
      <w:r w:rsidR="005B5EEF">
        <w:t>mzXML</w:t>
      </w:r>
      <w:proofErr w:type="spellEnd"/>
      <w:r w:rsidR="005B5EEF">
        <w:t xml:space="preserve"> files for each suspect hit using the </w:t>
      </w:r>
      <w:proofErr w:type="spellStart"/>
      <w:r w:rsidR="005B5EEF">
        <w:t>RMassBank</w:t>
      </w:r>
      <w:proofErr w:type="spellEnd"/>
      <w:r w:rsidR="005B5EEF">
        <w:t xml:space="preserve"> package</w:t>
      </w:r>
      <w:r w:rsidR="00974BF2">
        <w:t xml:space="preserve"> </w:t>
      </w:r>
      <w:r w:rsidR="00974BF2">
        <w:fldChar w:fldCharType="begin"/>
      </w:r>
      <w:r w:rsidR="00974BF2">
        <w:instrText xml:space="preserve"> ADDIN EN.CITE &lt;EndNote&gt;&lt;Cite&gt;&lt;Author&gt;Stravs&lt;/Author&gt;&lt;Year&gt;2013&lt;/Year&gt;&lt;RecNum&gt;250&lt;/RecNum&gt;&lt;DisplayText&gt;(Stravs et al. 2013)&lt;/DisplayText&gt;&lt;record&gt;&lt;rec-number&gt;250&lt;/rec-number&gt;&lt;foreign-keys&gt;&lt;key app="EN" db-id="5txd5e0ztarddres5a15522yswtpasezvzvx" timestamp="1513946990"&gt;250&lt;/key&gt;&lt;key app="ENWeb" db-id=""&gt;0&lt;/key&gt;&lt;/foreign-keys&gt;&lt;ref-type name="Journal Article"&gt;17&lt;/ref-type&gt;&lt;contributors&gt;&lt;authors&gt;&lt;author&gt;Stravs, M. A.&lt;/author&gt;&lt;author&gt;Schymanski, E. L.&lt;/author&gt;&lt;author&gt;Singer, H. P.&lt;/author&gt;&lt;author&gt;Hollender, J.&lt;/author&gt;&lt;/authors&gt;&lt;/contributors&gt;&lt;auth-address&gt;Eawag: Swiss Federal Institute of Aquatic Science and Technology, Uberlandstrasse 133, 8600, Dubendorf, Switzerland.&lt;/auth-address&gt;&lt;titles&gt;&lt;title&gt;Automatic recalibration and processing of tandem mass spectra using formula annotation&lt;/title&gt;&lt;secondary-title&gt;J Mass Spectrom&lt;/secondary-title&gt;&lt;/titles&gt;&lt;periodical&gt;&lt;full-title&gt;J Mass Spectrom&lt;/full-title&gt;&lt;/periodical&gt;&lt;pages&gt;89-99&lt;/pages&gt;&lt;volume&gt;48&lt;/volume&gt;&lt;number&gt;1&lt;/number&gt;&lt;edition&gt;2013/01/11&lt;/edition&gt;&lt;dates&gt;&lt;year&gt;2013&lt;/year&gt;&lt;pub-dates&gt;&lt;date&gt;Jan&lt;/date&gt;&lt;/pub-dates&gt;&lt;/dates&gt;&lt;isbn&gt;1096-9888 (Electronic)&amp;#xD;1076-5174 (Linking)&lt;/isbn&gt;&lt;accession-num&gt;23303751&lt;/accession-num&gt;&lt;urls&gt;&lt;related-urls&gt;&lt;url&gt;https://www.ncbi.nlm.nih.gov/pubmed/23303751&lt;/url&gt;&lt;/related-urls&gt;&lt;/urls&gt;&lt;electronic-resource-num&gt;10.1002/jms.3131&lt;/electronic-resource-num&gt;&lt;/record&gt;&lt;/Cite&gt;&lt;/EndNote&gt;</w:instrText>
      </w:r>
      <w:r w:rsidR="00974BF2">
        <w:fldChar w:fldCharType="separate"/>
      </w:r>
      <w:r w:rsidR="00974BF2">
        <w:rPr>
          <w:noProof/>
        </w:rPr>
        <w:t>(Stravs et al. 2013)</w:t>
      </w:r>
      <w:r w:rsidR="00974BF2">
        <w:fldChar w:fldCharType="end"/>
      </w:r>
      <w:r w:rsidR="005B5EEF">
        <w:t>. For this, the m/z</w:t>
      </w:r>
      <w:r w:rsidR="007643BD">
        <w:t xml:space="preserve"> of the [M+H]+</w:t>
      </w:r>
      <w:r w:rsidR="005B5EEF">
        <w:t xml:space="preserve"> </w:t>
      </w:r>
      <w:r w:rsidR="007643BD">
        <w:t>/ [M-H]-</w:t>
      </w:r>
      <w:r w:rsidR="005B5EEF">
        <w:t xml:space="preserve"> were calculated from the annotated </w:t>
      </w:r>
      <w:r w:rsidR="007643BD">
        <w:t xml:space="preserve">suspect </w:t>
      </w:r>
      <w:r w:rsidR="005B5EEF">
        <w:t>formula</w:t>
      </w:r>
      <w:r w:rsidR="00BB090B">
        <w:t xml:space="preserve"> (</w:t>
      </w:r>
      <w:proofErr w:type="spellStart"/>
      <w:r w:rsidR="00BB090B">
        <w:t>RChemMass</w:t>
      </w:r>
      <w:proofErr w:type="spellEnd"/>
      <w:r w:rsidR="00BB090B">
        <w:t xml:space="preserve"> package, </w:t>
      </w:r>
      <w:r w:rsidR="00BB090B" w:rsidRPr="00BB090B">
        <w:t>https://github.com/schymane/RChemMass/</w:t>
      </w:r>
      <w:r w:rsidR="00BB090B">
        <w:t>)</w:t>
      </w:r>
      <w:r w:rsidR="00CF77E8">
        <w:t>,</w:t>
      </w:r>
      <w:r w:rsidR="005B5EEF">
        <w:t xml:space="preserve"> and then</w:t>
      </w:r>
      <w:r w:rsidR="00CF77E8">
        <w:t>,</w:t>
      </w:r>
      <w:r w:rsidR="005B5EEF">
        <w:t xml:space="preserve"> the </w:t>
      </w:r>
      <w:r w:rsidR="00CF77E8">
        <w:t xml:space="preserve">most intense </w:t>
      </w:r>
      <w:r w:rsidR="005B5EEF">
        <w:t xml:space="preserve">MS/MS scan </w:t>
      </w:r>
      <w:r w:rsidR="00CF77E8">
        <w:t xml:space="preserve">triggered by the calculated m/z and </w:t>
      </w:r>
      <w:r w:rsidR="005B5EEF">
        <w:t>acquired</w:t>
      </w:r>
      <w:r w:rsidR="00CF77E8">
        <w:t xml:space="preserve"> in the sample with the largest MS1 intensity was</w:t>
      </w:r>
      <w:r w:rsidR="005B5EEF">
        <w:t xml:space="preserve"> written </w:t>
      </w:r>
      <w:r w:rsidR="00CF77E8">
        <w:t>to a .txt file.</w:t>
      </w:r>
      <w:r w:rsidR="00B6083B">
        <w:t xml:space="preserve"> To reduce noise signals, peaks with </w:t>
      </w:r>
      <w:r w:rsidR="008E617B">
        <w:t>intensity</w:t>
      </w:r>
      <w:r w:rsidR="00B6083B">
        <w:t xml:space="preserve"> less than 1% relative to the base peak were removed.</w:t>
      </w:r>
      <w:r w:rsidR="00CF77E8">
        <w:t xml:space="preserve"> Next</w:t>
      </w:r>
      <w:r w:rsidR="005B5EEF">
        <w:t xml:space="preserve">, </w:t>
      </w:r>
      <w:proofErr w:type="spellStart"/>
      <w:r w:rsidR="005B5EEF">
        <w:t>MetFrag</w:t>
      </w:r>
      <w:proofErr w:type="spellEnd"/>
      <w:r w:rsidR="005B5EEF">
        <w:t xml:space="preserve"> retrieved all structures from </w:t>
      </w:r>
      <w:proofErr w:type="spellStart"/>
      <w:r w:rsidR="005B5EEF">
        <w:t>ChemSpider</w:t>
      </w:r>
      <w:proofErr w:type="spellEnd"/>
      <w:r w:rsidR="005B5EEF">
        <w:t xml:space="preserve"> and the </w:t>
      </w:r>
      <w:r w:rsidR="00CF77E8">
        <w:t>suspect list</w:t>
      </w:r>
      <w:r w:rsidR="005B5EEF">
        <w:t xml:space="preserve"> match</w:t>
      </w:r>
      <w:r w:rsidR="00CF77E8">
        <w:t>ing the measured m/z</w:t>
      </w:r>
      <w:r w:rsidR="005B5EEF">
        <w:t xml:space="preserve"> within 3 or 5 ppm (positive / negative mode). </w:t>
      </w:r>
      <w:r w:rsidR="00BC2CF4">
        <w:t>Salts and stereoisomers were removed using the unconnected compound</w:t>
      </w:r>
      <w:r w:rsidR="00B270E3">
        <w:t xml:space="preserve"> </w:t>
      </w:r>
      <w:r w:rsidR="00BC2CF4">
        <w:t xml:space="preserve">and </w:t>
      </w:r>
      <w:proofErr w:type="spellStart"/>
      <w:r w:rsidR="00BC2CF4">
        <w:t>InChIKey</w:t>
      </w:r>
      <w:proofErr w:type="spellEnd"/>
      <w:r w:rsidR="00BC2CF4">
        <w:t xml:space="preserve"> </w:t>
      </w:r>
      <w:r w:rsidR="00BC2CF4" w:rsidRPr="003E1919">
        <w:t>filter.</w:t>
      </w:r>
      <w:r w:rsidR="009751DC" w:rsidRPr="003E1919">
        <w:t xml:space="preserve"> </w:t>
      </w:r>
      <w:proofErr w:type="spellStart"/>
      <w:r w:rsidR="00BC2CF4" w:rsidRPr="003E1919">
        <w:t>FragmenterScore</w:t>
      </w:r>
      <w:proofErr w:type="spellEnd"/>
      <w:r w:rsidR="00BC2CF4" w:rsidRPr="003E1919">
        <w:t>,</w:t>
      </w:r>
      <w:r w:rsidR="009751DC" w:rsidRPr="003E1919">
        <w:t xml:space="preserve"> </w:t>
      </w:r>
      <w:proofErr w:type="spellStart"/>
      <w:r w:rsidR="001868C1" w:rsidRPr="003E1919">
        <w:t>RetentionTimeScore</w:t>
      </w:r>
      <w:proofErr w:type="spellEnd"/>
      <w:r w:rsidR="001868C1" w:rsidRPr="003E1919">
        <w:t xml:space="preserve">, </w:t>
      </w:r>
      <w:proofErr w:type="spellStart"/>
      <w:r w:rsidR="001868C1" w:rsidRPr="003E1919">
        <w:t>ChemSpider</w:t>
      </w:r>
      <w:proofErr w:type="spellEnd"/>
      <w:r w:rsidR="001868C1" w:rsidRPr="003E1919">
        <w:t xml:space="preserve"> data (</w:t>
      </w:r>
      <w:proofErr w:type="spellStart"/>
      <w:r w:rsidR="009751DC" w:rsidRPr="003E1919">
        <w:t>ChemSpiderDataSourceCount</w:t>
      </w:r>
      <w:proofErr w:type="spellEnd"/>
      <w:r w:rsidR="009751DC" w:rsidRPr="003E1919">
        <w:t xml:space="preserve">, </w:t>
      </w:r>
      <w:proofErr w:type="spellStart"/>
      <w:r w:rsidR="009751DC" w:rsidRPr="003E1919">
        <w:t>ChemspiderReferenceCount</w:t>
      </w:r>
      <w:proofErr w:type="spellEnd"/>
      <w:r w:rsidR="009751DC" w:rsidRPr="003E1919">
        <w:t xml:space="preserve">, </w:t>
      </w:r>
      <w:proofErr w:type="spellStart"/>
      <w:r w:rsidR="009751DC" w:rsidRPr="003E1919">
        <w:t>ChemSpiderPubMedCount</w:t>
      </w:r>
      <w:proofErr w:type="spellEnd"/>
      <w:r w:rsidR="009751DC" w:rsidRPr="003E1919">
        <w:t xml:space="preserve">, </w:t>
      </w:r>
      <w:proofErr w:type="spellStart"/>
      <w:r w:rsidR="001868C1" w:rsidRPr="003E1919">
        <w:t>ChemSpiderRSCCount</w:t>
      </w:r>
      <w:proofErr w:type="spellEnd"/>
      <w:r w:rsidR="001868C1" w:rsidRPr="003E1919">
        <w:t xml:space="preserve">, </w:t>
      </w:r>
      <w:proofErr w:type="spellStart"/>
      <w:r w:rsidR="001868C1" w:rsidRPr="003E1919">
        <w:t>ChemSpiderExternal</w:t>
      </w:r>
      <w:r w:rsidR="009751DC" w:rsidRPr="003E1919">
        <w:t>ReferenceCount</w:t>
      </w:r>
      <w:proofErr w:type="spellEnd"/>
      <w:r w:rsidR="001868C1" w:rsidRPr="003E1919">
        <w:t>)</w:t>
      </w:r>
      <w:r w:rsidR="009751DC" w:rsidRPr="003E1919">
        <w:t xml:space="preserve">, </w:t>
      </w:r>
      <w:r w:rsidR="001868C1" w:rsidRPr="003E1919">
        <w:t>and</w:t>
      </w:r>
      <w:r w:rsidR="009751DC" w:rsidRPr="003E1919">
        <w:t xml:space="preserve"> </w:t>
      </w:r>
      <w:proofErr w:type="spellStart"/>
      <w:r w:rsidR="00BC2CF4" w:rsidRPr="003E1919">
        <w:t>OfflineMetFusionScore</w:t>
      </w:r>
      <w:proofErr w:type="spellEnd"/>
      <w:r w:rsidR="00BC2CF4" w:rsidRPr="003E1919">
        <w:t xml:space="preserve"> </w:t>
      </w:r>
      <w:r w:rsidR="001868C1" w:rsidRPr="003E1919">
        <w:t>were weighted equally</w:t>
      </w:r>
      <w:r w:rsidR="003E1919" w:rsidRPr="003E1919">
        <w:t xml:space="preserve">. </w:t>
      </w:r>
      <w:proofErr w:type="spellStart"/>
      <w:r w:rsidR="007E4FE0" w:rsidRPr="003E1919">
        <w:t>MetFrag</w:t>
      </w:r>
      <w:proofErr w:type="spellEnd"/>
      <w:r w:rsidR="007E4FE0" w:rsidRPr="003E1919">
        <w:t xml:space="preserve"> results are summarized in SI-B</w:t>
      </w:r>
      <w:r w:rsidR="008E617B">
        <w:t> 3</w:t>
      </w:r>
      <w:r w:rsidR="007E4FE0" w:rsidRPr="003E1919">
        <w:t xml:space="preserve"> comprising </w:t>
      </w:r>
      <w:proofErr w:type="spellStart"/>
      <w:r w:rsidR="005B5EEF" w:rsidRPr="003E1919">
        <w:t>fragmenter</w:t>
      </w:r>
      <w:proofErr w:type="spellEnd"/>
      <w:r w:rsidR="005B5EEF" w:rsidRPr="003E1919">
        <w:t xml:space="preserve"> score of the suspect, number and formulae</w:t>
      </w:r>
      <w:r w:rsidR="005B5EEF">
        <w:t xml:space="preserve"> of explained peaks</w:t>
      </w:r>
      <w:r w:rsidR="007E4FE0">
        <w:t xml:space="preserve"> by the suspect</w:t>
      </w:r>
      <w:r w:rsidR="005B5EEF">
        <w:t xml:space="preserve">, number of </w:t>
      </w:r>
      <w:proofErr w:type="spellStart"/>
      <w:r w:rsidR="005B5EEF">
        <w:t>ChemSpider</w:t>
      </w:r>
      <w:proofErr w:type="spellEnd"/>
      <w:r w:rsidR="005B5EEF">
        <w:t xml:space="preserve"> hits, the compound from </w:t>
      </w:r>
      <w:proofErr w:type="spellStart"/>
      <w:r w:rsidR="005B5EEF">
        <w:t>Chemspider</w:t>
      </w:r>
      <w:proofErr w:type="spellEnd"/>
      <w:r w:rsidR="005B5EEF">
        <w:t xml:space="preserve"> that explains most fragments, that has highest </w:t>
      </w:r>
      <w:proofErr w:type="spellStart"/>
      <w:r w:rsidR="005B5EEF">
        <w:t>fragmenter</w:t>
      </w:r>
      <w:proofErr w:type="spellEnd"/>
      <w:r w:rsidR="005B5EEF">
        <w:t xml:space="preserve"> score</w:t>
      </w:r>
      <w:r w:rsidR="007E4FE0">
        <w:t>,</w:t>
      </w:r>
      <w:r w:rsidR="005B5EEF">
        <w:t xml:space="preserve"> and the one that has the highest total score. </w:t>
      </w:r>
    </w:p>
    <w:p w14:paraId="5EF0C9D5" w14:textId="77777777" w:rsidR="003744F8" w:rsidRDefault="003744F8">
      <w:pPr>
        <w:spacing w:line="276" w:lineRule="auto"/>
        <w:jc w:val="left"/>
      </w:pPr>
      <w:r>
        <w:br w:type="page"/>
      </w:r>
    </w:p>
    <w:p w14:paraId="54009801" w14:textId="2460C202" w:rsidR="003744F8" w:rsidRPr="00181B0F" w:rsidRDefault="003744F8" w:rsidP="007643BD">
      <w:pPr>
        <w:rPr>
          <w:b/>
        </w:rPr>
      </w:pPr>
      <w:r w:rsidRPr="00181B0F">
        <w:rPr>
          <w:b/>
        </w:rPr>
        <w:lastRenderedPageBreak/>
        <w:t>Suspect Hits not Further Investigated</w:t>
      </w:r>
    </w:p>
    <w:p w14:paraId="1254A78C" w14:textId="36824CCD" w:rsidR="003744F8" w:rsidRDefault="003744F8" w:rsidP="003744F8">
      <w:r w:rsidRPr="00181B0F">
        <w:t>143 suspects were not further investigated using reference material. Some suspects will remain unclear, e.g. for 21 suspects reference material could not be obtained or was not pursued as they were considered to be of lower priority. Eight suspects were not further investigated because they were only detected in one sample. Some suspects were disregarded as they showed a noisy EIC (35 suspects) or low intensity (57 suspects) hampering confirmation (area &lt;5x10</w:t>
      </w:r>
      <w:r w:rsidRPr="00181B0F">
        <w:rPr>
          <w:vertAlign w:val="superscript"/>
        </w:rPr>
        <w:t>4</w:t>
      </w:r>
      <w:r w:rsidRPr="00181B0F">
        <w:t xml:space="preserve">). 22 suspects were excluded as they were relatively unlikely to represent a positive hit: One suspect hit, annotated both as TP of various </w:t>
      </w:r>
      <w:proofErr w:type="spellStart"/>
      <w:r w:rsidRPr="00181B0F">
        <w:t>sulfurons</w:t>
      </w:r>
      <w:proofErr w:type="spellEnd"/>
      <w:r w:rsidRPr="00181B0F">
        <w:t xml:space="preserve"> and as </w:t>
      </w:r>
      <w:proofErr w:type="spellStart"/>
      <w:r w:rsidRPr="00181B0F">
        <w:t>terbuthylazine</w:t>
      </w:r>
      <w:proofErr w:type="spellEnd"/>
      <w:r w:rsidRPr="00181B0F">
        <w:t xml:space="preserve"> TP, was identified as </w:t>
      </w:r>
      <w:proofErr w:type="spellStart"/>
      <w:r w:rsidRPr="00181B0F">
        <w:t>terbuthylazine</w:t>
      </w:r>
      <w:proofErr w:type="spellEnd"/>
      <w:r w:rsidRPr="00181B0F">
        <w:t xml:space="preserve"> TP; in the case of three suspects the measured fragments did not match the main fragments reported by </w:t>
      </w:r>
      <w:r w:rsidRPr="00181B0F">
        <w:fldChar w:fldCharType="begin"/>
      </w:r>
      <w:r w:rsidRPr="00181B0F">
        <w:instrText xml:space="preserve"> ADDIN EN.CITE &lt;EndNote&gt;&lt;Cite AuthorYear="1"&gt;&lt;Author&gt;Reemtsma&lt;/Author&gt;&lt;Year&gt;2013&lt;/Year&gt;&lt;RecNum&gt;104&lt;/RecNum&gt;&lt;DisplayText&gt;Reemtsma et al. (2013)&lt;/DisplayText&gt;&lt;record&gt;&lt;rec-number&gt;104&lt;/rec-number&gt;&lt;foreign-keys&gt;&lt;key app="EN" db-id="5txd5e0ztarddres5a15522yswtpasezvzvx" timestamp="1487168002"&gt;104&lt;/key&gt;&lt;key app="ENWeb" db-id=""&gt;0&lt;/key&gt;&lt;/foreign-keys&gt;&lt;ref-type name="Journal Article"&gt;17&lt;/ref-type&gt;&lt;contributors&gt;&lt;authors&gt;&lt;author&gt;Reemtsma, T.&lt;/author&gt;&lt;author&gt;Alder, L.&lt;/author&gt;&lt;author&gt;Banasiak, U.&lt;/author&gt;&lt;/authors&gt;&lt;/contributors&gt;&lt;auth-address&gt;Federal Institute for Risk Assessment (BfR), Department Chemicals Safety, Max-Dohrn-Str. 8-10, 10589 Berlin, Germany. thorsten.reemtsma@ufz.de&lt;/auth-address&gt;&lt;titles&gt;&lt;title&gt;A multimethod for the determination of 150 pesticide metabolites in surface water and groundwater using direct injection liquid chromatography-mass spectrometry&lt;/title&gt;&lt;secondary-title&gt;Journal of Chromatography A&lt;/secondary-title&gt;&lt;/titles&gt;&lt;periodical&gt;&lt;full-title&gt;Journal of chromatography A&lt;/full-title&gt;&lt;/periodical&gt;&lt;pages&gt;95-104&lt;/pages&gt;&lt;volume&gt;1271&lt;/volume&gt;&lt;number&gt;1&lt;/number&gt;&lt;keywords&gt;&lt;keyword&gt;Chromatography, Liquid/*methods&lt;/keyword&gt;&lt;keyword&gt;Pesticides/*analysis/chemistry/metabolism&lt;/keyword&gt;&lt;keyword&gt;Reproducibility of Results&lt;/keyword&gt;&lt;keyword&gt;Sensitivity and Specificity&lt;/keyword&gt;&lt;keyword&gt;Spectrometry, Mass, Electrospray Ionization/*methods&lt;/keyword&gt;&lt;keyword&gt;Tandem Mass Spectrometry/methods&lt;/keyword&gt;&lt;keyword&gt;Water Pollutants, Chemical/*analysis/chemistry/metabolism&lt;/keyword&gt;&lt;/keywords&gt;&lt;dates&gt;&lt;year&gt;2013&lt;/year&gt;&lt;pub-dates&gt;&lt;date&gt;Jan 04&lt;/date&gt;&lt;/pub-dates&gt;&lt;/dates&gt;&lt;isbn&gt;1873-3778 (Electronic)&amp;#xD;0021-9673 (Linking)&lt;/isbn&gt;&lt;accession-num&gt;23219477&lt;/accession-num&gt;&lt;urls&gt;&lt;related-urls&gt;&lt;url&gt;&lt;style face="underline" font="default" size="100%"&gt;https://www.ncbi.nlm.nih.gov/pubmed/23219477&lt;/style&gt;&lt;/url&gt;&lt;/related-urls&gt;&lt;/urls&gt;&lt;electronic-resource-num&gt;10.1016/j.chroma.2012.11.023&lt;/electronic-resource-num&gt;&lt;/record&gt;&lt;/Cite&gt;&lt;/EndNote&gt;</w:instrText>
      </w:r>
      <w:r w:rsidRPr="00181B0F">
        <w:fldChar w:fldCharType="separate"/>
      </w:r>
      <w:r w:rsidRPr="00181B0F">
        <w:rPr>
          <w:noProof/>
        </w:rPr>
        <w:t>Reemtsma et al. (2013)</w:t>
      </w:r>
      <w:r w:rsidRPr="00181B0F">
        <w:fldChar w:fldCharType="end"/>
      </w:r>
      <w:r w:rsidRPr="00181B0F">
        <w:t xml:space="preserve">; 14 hits showed low mass accuracy (averaged over </w:t>
      </w:r>
      <w:proofErr w:type="spellStart"/>
      <w:r w:rsidRPr="00181B0F">
        <w:t>isotopologues</w:t>
      </w:r>
      <w:proofErr w:type="spellEnd"/>
      <w:r w:rsidRPr="00181B0F">
        <w:t xml:space="preserve">/adducts: &gt;2.5 ppm; for four suspects, the maximum </w:t>
      </w:r>
      <w:proofErr w:type="spellStart"/>
      <w:r w:rsidRPr="00181B0F">
        <w:t>fragmenter</w:t>
      </w:r>
      <w:proofErr w:type="spellEnd"/>
      <w:r w:rsidRPr="00181B0F">
        <w:t xml:space="preserve"> score of the </w:t>
      </w:r>
      <w:proofErr w:type="spellStart"/>
      <w:r w:rsidRPr="00181B0F">
        <w:t>ChemSpider</w:t>
      </w:r>
      <w:proofErr w:type="spellEnd"/>
      <w:r w:rsidRPr="00181B0F">
        <w:t xml:space="preserve"> candidates was more than three times larger than the </w:t>
      </w:r>
      <w:proofErr w:type="spellStart"/>
      <w:r w:rsidRPr="00181B0F">
        <w:t>fragmenter</w:t>
      </w:r>
      <w:proofErr w:type="spellEnd"/>
      <w:r w:rsidRPr="00181B0F">
        <w:t xml:space="preserve"> score of the suspect and therefore the suspects were deemed as unlikely to be the correct structure.</w:t>
      </w:r>
    </w:p>
    <w:p w14:paraId="456BAA91" w14:textId="12D19D85" w:rsidR="00331179" w:rsidRDefault="00331179" w:rsidP="00BB0D03">
      <w:pPr>
        <w:pStyle w:val="Heading1"/>
      </w:pPr>
      <w:bookmarkStart w:id="8" w:name="_Toc12624284"/>
      <w:r w:rsidRPr="0056485F">
        <w:t xml:space="preserve">SI-A </w:t>
      </w:r>
      <w:r w:rsidRPr="00BF28C8">
        <w:fldChar w:fldCharType="begin"/>
      </w:r>
      <w:r w:rsidRPr="0056485F">
        <w:instrText xml:space="preserve"> SEQ SI-A \* ARABIC </w:instrText>
      </w:r>
      <w:r w:rsidRPr="00BF28C8">
        <w:fldChar w:fldCharType="separate"/>
      </w:r>
      <w:r w:rsidR="00181B0F">
        <w:rPr>
          <w:noProof/>
        </w:rPr>
        <w:t>4</w:t>
      </w:r>
      <w:r w:rsidRPr="00BF28C8">
        <w:fldChar w:fldCharType="end"/>
      </w:r>
      <w:r w:rsidRPr="0056485F">
        <w:t xml:space="preserve">: </w:t>
      </w:r>
      <w:r>
        <w:t>Suspect Confirmation and Quantification</w:t>
      </w:r>
      <w:bookmarkEnd w:id="8"/>
    </w:p>
    <w:p w14:paraId="4E7B498D" w14:textId="4408D0A7" w:rsidR="003E1919" w:rsidRDefault="00331179" w:rsidP="006C1C56">
      <w:r>
        <w:t>Seven samples comprising all suspects</w:t>
      </w:r>
      <w:r w:rsidR="00E076B2">
        <w:t xml:space="preserve"> </w:t>
      </w:r>
      <w:r>
        <w:t>(sample aliquots which were not th</w:t>
      </w:r>
      <w:r w:rsidR="00E076B2">
        <w:t>awed previously),</w:t>
      </w:r>
      <w:r>
        <w:t xml:space="preserve"> </w:t>
      </w:r>
      <w:r w:rsidR="00046586">
        <w:t>thre</w:t>
      </w:r>
      <w:r w:rsidR="008E617B">
        <w:t>e spiked samples (10, 100, 1000 </w:t>
      </w:r>
      <w:r w:rsidR="00046586">
        <w:t xml:space="preserve">ng/L) </w:t>
      </w:r>
      <w:r w:rsidR="00E076B2">
        <w:t>and two b</w:t>
      </w:r>
      <w:r w:rsidR="00BA1C8B">
        <w:t>lanks</w:t>
      </w:r>
      <w:r w:rsidR="00E076B2">
        <w:t xml:space="preserve"> were </w:t>
      </w:r>
      <w:r>
        <w:t>enriched and measured</w:t>
      </w:r>
      <w:r w:rsidR="00046586">
        <w:t xml:space="preserve"> as described in </w:t>
      </w:r>
      <w:r w:rsidR="00046586">
        <w:fldChar w:fldCharType="begin"/>
      </w:r>
      <w:r w:rsidR="00046586">
        <w:instrText xml:space="preserve"> REF _Ref522619963 \h </w:instrText>
      </w:r>
      <w:r w:rsidR="00046586">
        <w:fldChar w:fldCharType="separate"/>
      </w:r>
      <w:r w:rsidR="00181B0F" w:rsidRPr="00622B98">
        <w:t xml:space="preserve">SI-A </w:t>
      </w:r>
      <w:r w:rsidR="00181B0F">
        <w:rPr>
          <w:noProof/>
        </w:rPr>
        <w:t>1</w:t>
      </w:r>
      <w:r w:rsidR="00046586">
        <w:fldChar w:fldCharType="end"/>
      </w:r>
      <w:r w:rsidR="00046586">
        <w:t xml:space="preserve"> with</w:t>
      </w:r>
      <w:r w:rsidR="009224EA">
        <w:t xml:space="preserve"> the following slight modifications.</w:t>
      </w:r>
      <w:r>
        <w:t xml:space="preserve"> </w:t>
      </w:r>
      <w:r w:rsidR="009069B5">
        <w:t>Calibration levels were 0.1, 0.5, 1, 5, 10, 25, 50, 100, 500, 1000, 2000 and 3000 ng/L.</w:t>
      </w:r>
      <w:r>
        <w:t xml:space="preserve"> </w:t>
      </w:r>
      <w:r w:rsidR="00046586">
        <w:t xml:space="preserve">The </w:t>
      </w:r>
      <w:r w:rsidR="00E076B2">
        <w:t xml:space="preserve">dynamic exclusion time and number of </w:t>
      </w:r>
      <w:proofErr w:type="spellStart"/>
      <w:r w:rsidR="00E076B2">
        <w:t>dd</w:t>
      </w:r>
      <w:proofErr w:type="spellEnd"/>
      <w:r w:rsidR="00E076B2">
        <w:t xml:space="preserve">-MS/MS experiments </w:t>
      </w:r>
      <w:r w:rsidR="00046586">
        <w:t xml:space="preserve">were reduced to 3 s and </w:t>
      </w:r>
      <w:r w:rsidR="00E076B2">
        <w:t>top 3</w:t>
      </w:r>
      <w:r w:rsidR="00046586">
        <w:t>, respectively,</w:t>
      </w:r>
      <w:r w:rsidR="00E076B2">
        <w:t xml:space="preserve"> to increase the number of MS/MS scans along a chromatographic peak. </w:t>
      </w:r>
    </w:p>
    <w:p w14:paraId="6AC18DFF" w14:textId="21398078" w:rsidR="003E2C61" w:rsidRDefault="00AB4000" w:rsidP="006C1C56">
      <w:r>
        <w:t>Suspects were confirmed based on retention time and matching MS/MS spectra in standard and sample</w:t>
      </w:r>
      <w:r w:rsidR="009224EA">
        <w:t xml:space="preserve"> with the following method.</w:t>
      </w:r>
      <w:r>
        <w:t xml:space="preserve"> Using the R package </w:t>
      </w:r>
      <w:proofErr w:type="spellStart"/>
      <w:r>
        <w:t>MSnbase</w:t>
      </w:r>
      <w:proofErr w:type="spellEnd"/>
      <w:r w:rsidR="00974BF2">
        <w:t xml:space="preserve"> </w:t>
      </w:r>
      <w:r w:rsidR="00974BF2">
        <w:fldChar w:fldCharType="begin"/>
      </w:r>
      <w:r w:rsidR="00974BF2">
        <w:instrText xml:space="preserve"> ADDIN EN.CITE &lt;EndNote&gt;&lt;Cite&gt;&lt;Author&gt;Gatto&lt;/Author&gt;&lt;Year&gt;2012&lt;/Year&gt;&lt;RecNum&gt;285&lt;/RecNum&gt;&lt;DisplayText&gt;(Gatto and Lilley 2012)&lt;/DisplayText&gt;&lt;record&gt;&lt;rec-number&gt;285&lt;/rec-number&gt;&lt;foreign-keys&gt;&lt;key app="EN" db-id="5txd5e0ztarddres5a15522yswtpasezvzvx" timestamp="1542268286"&gt;285&lt;/key&gt;&lt;/foreign-keys&gt;&lt;ref-type name="Journal Article"&gt;17&lt;/ref-type&gt;&lt;contributors&gt;&lt;authors&gt;&lt;author&gt;Laurent Gatto&lt;/author&gt;&lt;author&gt;Kathryn S. Lilley&lt;/author&gt;&lt;/authors&gt;&lt;/contributors&gt;&lt;titles&gt;&lt;title&gt;MSnbase - an R/Bioconductor package for isobaric tagged mass spectrometry data visualization, processing and quantitation&lt;/title&gt;&lt;secondary-title&gt;Bioinformatics&lt;/secondary-title&gt;&lt;/titles&gt;&lt;periodical&gt;&lt;full-title&gt;Bioinformatics&lt;/full-title&gt;&lt;/periodical&gt;&lt;pages&gt;288-289&lt;/pages&gt;&lt;number&gt;28&lt;/number&gt;&lt;dates&gt;&lt;year&gt;2012&lt;/year&gt;&lt;/dates&gt;&lt;urls&gt;&lt;/urls&gt;&lt;/record&gt;&lt;/Cite&gt;&lt;/EndNote&gt;</w:instrText>
      </w:r>
      <w:r w:rsidR="00974BF2">
        <w:fldChar w:fldCharType="separate"/>
      </w:r>
      <w:r w:rsidR="00974BF2">
        <w:rPr>
          <w:noProof/>
        </w:rPr>
        <w:t>(Gatto and Lilley 2012)</w:t>
      </w:r>
      <w:r w:rsidR="00974BF2">
        <w:fldChar w:fldCharType="end"/>
      </w:r>
      <w:r>
        <w:t>, the EIC</w:t>
      </w:r>
      <w:r w:rsidR="008C2200">
        <w:t>s</w:t>
      </w:r>
      <w:r>
        <w:t xml:space="preserve"> of the most intense adduct in standard, sample and spiked sample w</w:t>
      </w:r>
      <w:r w:rsidR="008C2200">
        <w:t>ere</w:t>
      </w:r>
      <w:r>
        <w:t xml:space="preserve"> extracted (mass window 5 ppm) and plotted</w:t>
      </w:r>
      <w:r w:rsidR="008C2200">
        <w:t xml:space="preserve"> to check the retention time</w:t>
      </w:r>
      <w:r>
        <w:t>. Then, the</w:t>
      </w:r>
      <w:r w:rsidR="008C2200">
        <w:t xml:space="preserve"> most intense fragments in the standard were determined, and the EICs of these</w:t>
      </w:r>
      <w:r>
        <w:t xml:space="preserve"> fragments </w:t>
      </w:r>
      <w:r w:rsidR="008C2200">
        <w:t xml:space="preserve">(in standard and samples) were plotted. </w:t>
      </w:r>
      <w:r w:rsidR="003E2C61">
        <w:t xml:space="preserve">Head </w:t>
      </w:r>
      <w:r w:rsidR="008C2200">
        <w:t>to</w:t>
      </w:r>
      <w:r w:rsidR="003E2C61">
        <w:t xml:space="preserve"> </w:t>
      </w:r>
      <w:r w:rsidR="008C2200">
        <w:t xml:space="preserve">tail plots were created with the R package </w:t>
      </w:r>
      <w:proofErr w:type="spellStart"/>
      <w:r w:rsidR="008C2200">
        <w:t>MSMSsim</w:t>
      </w:r>
      <w:proofErr w:type="spellEnd"/>
      <w:r w:rsidR="008C2200">
        <w:t xml:space="preserve"> (</w:t>
      </w:r>
      <w:hyperlink r:id="rId15" w:history="1">
        <w:r w:rsidR="003E2C61" w:rsidRPr="007B7EC1">
          <w:rPr>
            <w:rStyle w:val="Hyperlink"/>
          </w:rPr>
          <w:t>https://github.com/dutchjes/MSMSsim</w:t>
        </w:r>
      </w:hyperlink>
      <w:r w:rsidR="008C2200">
        <w:t>).</w:t>
      </w:r>
      <w:r w:rsidR="00BB36E9">
        <w:t xml:space="preserve"> </w:t>
      </w:r>
      <w:r w:rsidR="003E2C61">
        <w:t xml:space="preserve">In addition, retention time was checked on </w:t>
      </w:r>
      <w:r w:rsidR="008723F2">
        <w:t xml:space="preserve">a second chromatographic system using </w:t>
      </w:r>
      <w:r w:rsidR="003E40CF">
        <w:t>a</w:t>
      </w:r>
      <w:r w:rsidR="003E2C61">
        <w:t xml:space="preserve"> </w:t>
      </w:r>
      <w:r w:rsidR="003E40CF">
        <w:t>reverse phase biphenyl</w:t>
      </w:r>
      <w:r w:rsidR="003E2C61">
        <w:t xml:space="preserve"> column </w:t>
      </w:r>
      <w:r w:rsidR="003E40CF">
        <w:t>(</w:t>
      </w:r>
      <w:r w:rsidR="003E2C61">
        <w:t>Raptor Biphenyl</w:t>
      </w:r>
      <w:r w:rsidR="003E40CF">
        <w:t>,</w:t>
      </w:r>
      <w:r w:rsidR="003E2C61">
        <w:t xml:space="preserve"> </w:t>
      </w:r>
      <w:r w:rsidR="003E40CF">
        <w:t>2.7 </w:t>
      </w:r>
      <w:proofErr w:type="spellStart"/>
      <w:r w:rsidR="003E40CF">
        <w:t>μm</w:t>
      </w:r>
      <w:proofErr w:type="spellEnd"/>
      <w:r w:rsidR="003E40CF">
        <w:t>,</w:t>
      </w:r>
      <w:r w:rsidR="003E40CF" w:rsidRPr="003E40CF">
        <w:t xml:space="preserve"> 100x3.0</w:t>
      </w:r>
      <w:r w:rsidR="003E40CF">
        <w:t xml:space="preserve"> mm; </w:t>
      </w:r>
      <w:proofErr w:type="spellStart"/>
      <w:r w:rsidR="003E2C61">
        <w:t>Restek</w:t>
      </w:r>
      <w:proofErr w:type="spellEnd"/>
      <w:r w:rsidR="008723F2">
        <w:t>,</w:t>
      </w:r>
      <w:r w:rsidR="003E2C61" w:rsidRPr="003E2C61">
        <w:t xml:space="preserve"> </w:t>
      </w:r>
      <w:r w:rsidR="003E2C61">
        <w:t>Bellefonte</w:t>
      </w:r>
      <w:r w:rsidR="008723F2">
        <w:t>, U.S.)</w:t>
      </w:r>
      <w:r w:rsidR="00491DFA">
        <w:t xml:space="preserve">. The gradient started with 100% eluent A (water + 0.1% concentrated formic acid + 2.5 </w:t>
      </w:r>
      <w:proofErr w:type="spellStart"/>
      <w:r w:rsidR="00491DFA">
        <w:t>mM</w:t>
      </w:r>
      <w:proofErr w:type="spellEnd"/>
      <w:r w:rsidR="00491DFA">
        <w:t xml:space="preserve"> ammonium </w:t>
      </w:r>
      <w:proofErr w:type="spellStart"/>
      <w:r w:rsidR="00491DFA">
        <w:t>formate</w:t>
      </w:r>
      <w:proofErr w:type="spellEnd"/>
      <w:r w:rsidR="00491DFA">
        <w:t>)</w:t>
      </w:r>
      <w:r w:rsidR="00F62BD0">
        <w:t xml:space="preserve"> for 1.5 min, then eluent B (90% / 10% acetonitrile / water + 0.1% concentrated formic acid + 2.5 </w:t>
      </w:r>
      <w:proofErr w:type="spellStart"/>
      <w:r w:rsidR="00F62BD0">
        <w:t>mM</w:t>
      </w:r>
      <w:proofErr w:type="spellEnd"/>
      <w:r w:rsidR="00F62BD0">
        <w:t xml:space="preserve"> ammonium </w:t>
      </w:r>
      <w:proofErr w:type="spellStart"/>
      <w:r w:rsidR="00F62BD0">
        <w:t>formate</w:t>
      </w:r>
      <w:proofErr w:type="spellEnd"/>
      <w:r w:rsidR="00F62BD0">
        <w:t xml:space="preserve">) was increased to 100% within 25 min, and </w:t>
      </w:r>
      <w:r w:rsidR="009224EA">
        <w:t>held</w:t>
      </w:r>
      <w:r w:rsidR="00F62BD0">
        <w:t xml:space="preserve"> for 2 min. The column was re-equilibrated for 4 min.</w:t>
      </w:r>
    </w:p>
    <w:p w14:paraId="1532FA89" w14:textId="50E2FBC9" w:rsidR="00181B0F" w:rsidRDefault="00847512" w:rsidP="00D347A1">
      <w:pPr>
        <w:rPr>
          <w:lang w:val="en-US"/>
        </w:rPr>
      </w:pPr>
      <w:r w:rsidRPr="00181B0F">
        <w:rPr>
          <w:lang w:val="en-US"/>
        </w:rPr>
        <w:t xml:space="preserve">Suspect concentrations were determined in the 31 samples by applying the calibration model determined later with the same LC-HRMS system. For this, seven samples were </w:t>
      </w:r>
      <w:proofErr w:type="spellStart"/>
      <w:r w:rsidRPr="00181B0F">
        <w:rPr>
          <w:lang w:val="en-US"/>
        </w:rPr>
        <w:t>analysed</w:t>
      </w:r>
      <w:proofErr w:type="spellEnd"/>
      <w:r w:rsidRPr="00181B0F">
        <w:rPr>
          <w:lang w:val="en-US"/>
        </w:rPr>
        <w:t xml:space="preserve"> twice, once in the first analysis, and once in the same measurement sequence as the calibration standards used for quantification. For this second sample preparation and measurement, the same ILIS spike solution was used as for the first sample preparation and measurement. The determined concentrations of both analyses matched within measurement accuracy.</w:t>
      </w:r>
      <w:r w:rsidR="00181B0F">
        <w:rPr>
          <w:lang w:val="en-US"/>
        </w:rPr>
        <w:br w:type="page"/>
      </w:r>
    </w:p>
    <w:p w14:paraId="20C6AE36" w14:textId="6190A86D" w:rsidR="00BB0D03" w:rsidRDefault="00BB0D03" w:rsidP="00BB0D03">
      <w:pPr>
        <w:pStyle w:val="Heading1"/>
      </w:pPr>
      <w:bookmarkStart w:id="9" w:name="_Toc12624285"/>
      <w:r>
        <w:lastRenderedPageBreak/>
        <w:t xml:space="preserve">SI-A </w:t>
      </w:r>
      <w:r>
        <w:fldChar w:fldCharType="begin"/>
      </w:r>
      <w:r>
        <w:instrText xml:space="preserve"> SEQ SI-A \* ARABIC </w:instrText>
      </w:r>
      <w:r>
        <w:fldChar w:fldCharType="separate"/>
      </w:r>
      <w:r w:rsidR="00181B0F">
        <w:rPr>
          <w:noProof/>
        </w:rPr>
        <w:t>5</w:t>
      </w:r>
      <w:r>
        <w:fldChar w:fldCharType="end"/>
      </w:r>
      <w:r>
        <w:t>: Results</w:t>
      </w:r>
      <w:r w:rsidR="00A31695">
        <w:t xml:space="preserve"> of Target and Suspect Screening</w:t>
      </w:r>
      <w:bookmarkEnd w:id="9"/>
      <w:r>
        <w:t xml:space="preserve"> </w:t>
      </w:r>
    </w:p>
    <w:p w14:paraId="3E2AD4F2" w14:textId="73F3F793" w:rsidR="00E9528F" w:rsidRDefault="00E9528F" w:rsidP="00E9528F">
      <w:pPr>
        <w:pStyle w:val="Caption"/>
        <w:keepNext/>
      </w:pPr>
      <w:r>
        <w:t xml:space="preserve">Table SI-A </w:t>
      </w:r>
      <w:r>
        <w:fldChar w:fldCharType="begin"/>
      </w:r>
      <w:r>
        <w:instrText xml:space="preserve"> SEQ Table_SI-A \* ARABIC </w:instrText>
      </w:r>
      <w:r>
        <w:fldChar w:fldCharType="separate"/>
      </w:r>
      <w:r w:rsidR="00181B0F">
        <w:rPr>
          <w:noProof/>
        </w:rPr>
        <w:t>3</w:t>
      </w:r>
      <w:r>
        <w:fldChar w:fldCharType="end"/>
      </w:r>
      <w:r>
        <w:t>:</w:t>
      </w:r>
      <w:r w:rsidR="00E92C12">
        <w:t xml:space="preserve"> </w:t>
      </w:r>
      <w:proofErr w:type="spellStart"/>
      <w:r w:rsidR="00E92C12">
        <w:t>Micropollutants</w:t>
      </w:r>
      <w:proofErr w:type="spellEnd"/>
      <w:r>
        <w:t xml:space="preserve"> </w:t>
      </w:r>
      <w:r w:rsidR="00E92C12">
        <w:t>(</w:t>
      </w:r>
      <w:r>
        <w:t>MPs</w:t>
      </w:r>
      <w:r w:rsidR="00E92C12">
        <w:t>)</w:t>
      </w:r>
      <w:r>
        <w:t xml:space="preserve"> detected at least once with concentrations &gt;100 ng/L in the 31 groundwater samples. MPs </w:t>
      </w:r>
      <w:r w:rsidR="00674DA8">
        <w:t xml:space="preserve">identified </w:t>
      </w:r>
      <w:r>
        <w:t>in suspect screening: italic.</w:t>
      </w:r>
      <w:r w:rsidR="005E3A87">
        <w:t xml:space="preserve"> Median (</w:t>
      </w:r>
      <w:proofErr w:type="spellStart"/>
      <w:r w:rsidR="005E3A87">
        <w:t>c</w:t>
      </w:r>
      <w:r w:rsidR="005E3A87" w:rsidRPr="005E3A87">
        <w:rPr>
          <w:vertAlign w:val="subscript"/>
        </w:rPr>
        <w:t>median</w:t>
      </w:r>
      <w:proofErr w:type="spellEnd"/>
      <w:r w:rsidR="005E3A87">
        <w:t>), 90</w:t>
      </w:r>
      <w:r w:rsidR="005E3A87" w:rsidRPr="005E3A87">
        <w:rPr>
          <w:vertAlign w:val="superscript"/>
        </w:rPr>
        <w:t>th</w:t>
      </w:r>
      <w:r w:rsidR="005E3A87">
        <w:t xml:space="preserve"> percentile (c</w:t>
      </w:r>
      <w:r w:rsidR="00181B0F">
        <w:rPr>
          <w:vertAlign w:val="subscript"/>
        </w:rPr>
        <w:t>90th</w:t>
      </w:r>
      <w:r w:rsidR="005E3A87">
        <w:t>) and maximum</w:t>
      </w:r>
      <w:r w:rsidR="00137512">
        <w:t xml:space="preserve"> (</w:t>
      </w:r>
      <w:proofErr w:type="spellStart"/>
      <w:r w:rsidR="00137512">
        <w:t>c</w:t>
      </w:r>
      <w:r w:rsidR="00137512" w:rsidRPr="00137512">
        <w:rPr>
          <w:vertAlign w:val="subscript"/>
        </w:rPr>
        <w:t>max</w:t>
      </w:r>
      <w:proofErr w:type="spellEnd"/>
      <w:r w:rsidR="00137512">
        <w:t>)</w:t>
      </w:r>
      <w:r w:rsidR="005E3A87">
        <w:t xml:space="preserve"> of concentrations in 31 samples.</w:t>
      </w:r>
    </w:p>
    <w:tbl>
      <w:tblPr>
        <w:tblStyle w:val="TableGrid"/>
        <w:tblW w:w="9206" w:type="dxa"/>
        <w:tblBorders>
          <w:insideV w:val="none" w:sz="0" w:space="0" w:color="auto"/>
        </w:tblBorders>
        <w:tblLayout w:type="fixed"/>
        <w:tblLook w:val="04A0" w:firstRow="1" w:lastRow="0" w:firstColumn="1" w:lastColumn="0" w:noHBand="0" w:noVBand="1"/>
      </w:tblPr>
      <w:tblGrid>
        <w:gridCol w:w="2830"/>
        <w:gridCol w:w="1276"/>
        <w:gridCol w:w="850"/>
        <w:gridCol w:w="850"/>
        <w:gridCol w:w="850"/>
        <w:gridCol w:w="850"/>
        <w:gridCol w:w="850"/>
        <w:gridCol w:w="850"/>
      </w:tblGrid>
      <w:tr w:rsidR="005E3A87" w:rsidRPr="005E3A87" w14:paraId="01C1E404" w14:textId="77777777" w:rsidTr="005E3A87">
        <w:tc>
          <w:tcPr>
            <w:tcW w:w="2830" w:type="dxa"/>
            <w:shd w:val="clear" w:color="auto" w:fill="F2F2F2" w:themeFill="background1" w:themeFillShade="F2"/>
            <w:vAlign w:val="center"/>
          </w:tcPr>
          <w:p w14:paraId="45846942" w14:textId="77777777" w:rsidR="005E3A87" w:rsidRPr="005E3A87" w:rsidRDefault="005E3A87" w:rsidP="0029342B">
            <w:pPr>
              <w:jc w:val="left"/>
              <w:rPr>
                <w:b/>
                <w:sz w:val="20"/>
                <w:lang w:val="de-CH" w:eastAsia="de-CH"/>
              </w:rPr>
            </w:pPr>
            <w:r w:rsidRPr="005E3A87">
              <w:rPr>
                <w:b/>
                <w:sz w:val="20"/>
                <w:lang w:val="de-CH" w:eastAsia="de-CH"/>
              </w:rPr>
              <w:t>MP</w:t>
            </w:r>
          </w:p>
        </w:tc>
        <w:tc>
          <w:tcPr>
            <w:tcW w:w="1276" w:type="dxa"/>
            <w:shd w:val="clear" w:color="auto" w:fill="F2F2F2" w:themeFill="background1" w:themeFillShade="F2"/>
            <w:vAlign w:val="center"/>
          </w:tcPr>
          <w:p w14:paraId="03C6EC30" w14:textId="77777777" w:rsidR="005E3A87" w:rsidRPr="005E3A87" w:rsidRDefault="005E3A87" w:rsidP="0029342B">
            <w:pPr>
              <w:jc w:val="left"/>
              <w:rPr>
                <w:b/>
                <w:sz w:val="20"/>
                <w:lang w:val="de-CH" w:eastAsia="de-CH"/>
              </w:rPr>
            </w:pPr>
            <w:r w:rsidRPr="005E3A87">
              <w:rPr>
                <w:b/>
                <w:sz w:val="20"/>
                <w:lang w:val="de-CH" w:eastAsia="de-CH"/>
              </w:rPr>
              <w:t>MP Class</w:t>
            </w:r>
          </w:p>
        </w:tc>
        <w:tc>
          <w:tcPr>
            <w:tcW w:w="850" w:type="dxa"/>
            <w:shd w:val="clear" w:color="auto" w:fill="F2F2F2" w:themeFill="background1" w:themeFillShade="F2"/>
            <w:vAlign w:val="center"/>
          </w:tcPr>
          <w:p w14:paraId="015F8D70" w14:textId="77777777" w:rsidR="005E3A87" w:rsidRPr="00181B0F" w:rsidRDefault="005E3A87" w:rsidP="0029342B">
            <w:pPr>
              <w:jc w:val="left"/>
              <w:rPr>
                <w:b/>
                <w:sz w:val="20"/>
                <w:lang w:val="de-CH" w:eastAsia="de-CH"/>
              </w:rPr>
            </w:pPr>
            <w:r w:rsidRPr="00181B0F">
              <w:rPr>
                <w:b/>
                <w:sz w:val="20"/>
                <w:lang w:val="de-CH" w:eastAsia="de-CH"/>
              </w:rPr>
              <w:t>logD</w:t>
            </w:r>
            <w:r w:rsidRPr="00181B0F">
              <w:rPr>
                <w:b/>
                <w:sz w:val="20"/>
                <w:vertAlign w:val="subscript"/>
                <w:lang w:val="de-CH" w:eastAsia="de-CH"/>
              </w:rPr>
              <w:t>pH7</w:t>
            </w:r>
          </w:p>
        </w:tc>
        <w:tc>
          <w:tcPr>
            <w:tcW w:w="850" w:type="dxa"/>
            <w:shd w:val="clear" w:color="auto" w:fill="F2F2F2" w:themeFill="background1" w:themeFillShade="F2"/>
            <w:vAlign w:val="center"/>
          </w:tcPr>
          <w:p w14:paraId="75AC45CF" w14:textId="7601567D" w:rsidR="005E3A87" w:rsidRPr="00181B0F" w:rsidRDefault="005E3A87" w:rsidP="003C01CD">
            <w:pPr>
              <w:jc w:val="left"/>
              <w:rPr>
                <w:b/>
                <w:sz w:val="20"/>
                <w:lang w:val="de-CH" w:eastAsia="de-CH"/>
              </w:rPr>
            </w:pPr>
            <w:r w:rsidRPr="00181B0F">
              <w:rPr>
                <w:b/>
                <w:sz w:val="20"/>
                <w:lang w:val="de-CH" w:eastAsia="de-CH"/>
              </w:rPr>
              <w:t>LOQ (ng/L)</w:t>
            </w:r>
          </w:p>
        </w:tc>
        <w:tc>
          <w:tcPr>
            <w:tcW w:w="850" w:type="dxa"/>
            <w:shd w:val="clear" w:color="auto" w:fill="F2F2F2" w:themeFill="background1" w:themeFillShade="F2"/>
            <w:vAlign w:val="center"/>
          </w:tcPr>
          <w:p w14:paraId="49C1A44E" w14:textId="3E09A031" w:rsidR="005E3A87" w:rsidRPr="00181B0F" w:rsidRDefault="005E3A87" w:rsidP="003C01CD">
            <w:pPr>
              <w:jc w:val="left"/>
              <w:rPr>
                <w:b/>
                <w:sz w:val="20"/>
                <w:lang w:val="de-CH" w:eastAsia="de-CH"/>
              </w:rPr>
            </w:pPr>
            <w:r w:rsidRPr="00181B0F">
              <w:rPr>
                <w:b/>
                <w:sz w:val="20"/>
                <w:lang w:val="de-CH" w:eastAsia="de-CH"/>
              </w:rPr>
              <w:t xml:space="preserve">No. </w:t>
            </w:r>
            <w:proofErr w:type="spellStart"/>
            <w:r w:rsidRPr="00181B0F">
              <w:rPr>
                <w:b/>
                <w:sz w:val="20"/>
                <w:lang w:val="de-CH" w:eastAsia="de-CH"/>
              </w:rPr>
              <w:t>Of</w:t>
            </w:r>
            <w:proofErr w:type="spellEnd"/>
            <w:r w:rsidRPr="00181B0F">
              <w:rPr>
                <w:b/>
                <w:sz w:val="20"/>
                <w:lang w:val="de-CH" w:eastAsia="de-CH"/>
              </w:rPr>
              <w:t xml:space="preserve"> </w:t>
            </w:r>
            <w:proofErr w:type="spellStart"/>
            <w:r w:rsidRPr="00181B0F">
              <w:rPr>
                <w:b/>
                <w:sz w:val="20"/>
                <w:lang w:val="de-CH" w:eastAsia="de-CH"/>
              </w:rPr>
              <w:t>Detec-tions</w:t>
            </w:r>
            <w:proofErr w:type="spellEnd"/>
            <w:r w:rsidRPr="00181B0F">
              <w:rPr>
                <w:b/>
                <w:sz w:val="20"/>
                <w:lang w:val="de-CH" w:eastAsia="de-CH"/>
              </w:rPr>
              <w:t xml:space="preserve"> </w:t>
            </w:r>
          </w:p>
        </w:tc>
        <w:tc>
          <w:tcPr>
            <w:tcW w:w="850" w:type="dxa"/>
            <w:shd w:val="clear" w:color="auto" w:fill="F2F2F2" w:themeFill="background1" w:themeFillShade="F2"/>
            <w:vAlign w:val="center"/>
          </w:tcPr>
          <w:p w14:paraId="24C91B08" w14:textId="77B411B5" w:rsidR="005E3A87" w:rsidRPr="00181B0F" w:rsidRDefault="005E3A87" w:rsidP="003C01CD">
            <w:pPr>
              <w:jc w:val="left"/>
              <w:rPr>
                <w:b/>
                <w:sz w:val="20"/>
                <w:lang w:val="de-CH" w:eastAsia="de-CH"/>
              </w:rPr>
            </w:pPr>
            <w:proofErr w:type="spellStart"/>
            <w:r w:rsidRPr="00181B0F">
              <w:rPr>
                <w:b/>
                <w:sz w:val="20"/>
                <w:lang w:val="de-CH" w:eastAsia="de-CH"/>
              </w:rPr>
              <w:t>C</w:t>
            </w:r>
            <w:r w:rsidR="00137512" w:rsidRPr="00181B0F">
              <w:rPr>
                <w:b/>
                <w:sz w:val="20"/>
                <w:vertAlign w:val="subscript"/>
                <w:lang w:val="de-CH" w:eastAsia="de-CH"/>
              </w:rPr>
              <w:t>m</w:t>
            </w:r>
            <w:r w:rsidRPr="00181B0F">
              <w:rPr>
                <w:b/>
                <w:sz w:val="20"/>
                <w:vertAlign w:val="subscript"/>
                <w:lang w:val="de-CH" w:eastAsia="de-CH"/>
              </w:rPr>
              <w:t>edian</w:t>
            </w:r>
            <w:proofErr w:type="spellEnd"/>
            <w:r w:rsidRPr="00181B0F">
              <w:rPr>
                <w:b/>
                <w:sz w:val="20"/>
                <w:vertAlign w:val="subscript"/>
                <w:lang w:val="de-CH" w:eastAsia="de-CH"/>
              </w:rPr>
              <w:t xml:space="preserve"> </w:t>
            </w:r>
            <w:r w:rsidRPr="00181B0F">
              <w:rPr>
                <w:b/>
                <w:sz w:val="20"/>
                <w:lang w:val="de-CH" w:eastAsia="de-CH"/>
              </w:rPr>
              <w:t>(</w:t>
            </w:r>
            <w:proofErr w:type="spellStart"/>
            <w:r w:rsidRPr="00181B0F">
              <w:rPr>
                <w:b/>
                <w:sz w:val="20"/>
                <w:lang w:val="de-CH" w:eastAsia="de-CH"/>
              </w:rPr>
              <w:t>ng</w:t>
            </w:r>
            <w:proofErr w:type="spellEnd"/>
            <w:r w:rsidRPr="00181B0F">
              <w:rPr>
                <w:b/>
                <w:sz w:val="20"/>
                <w:lang w:val="de-CH" w:eastAsia="de-CH"/>
              </w:rPr>
              <w:t>/L)</w:t>
            </w:r>
          </w:p>
        </w:tc>
        <w:tc>
          <w:tcPr>
            <w:tcW w:w="850" w:type="dxa"/>
            <w:shd w:val="clear" w:color="auto" w:fill="F2F2F2" w:themeFill="background1" w:themeFillShade="F2"/>
          </w:tcPr>
          <w:p w14:paraId="5A9F844E" w14:textId="48384501" w:rsidR="005E3A87" w:rsidRPr="00181B0F" w:rsidRDefault="005E3A87" w:rsidP="00181B0F">
            <w:pPr>
              <w:jc w:val="left"/>
              <w:rPr>
                <w:b/>
                <w:sz w:val="20"/>
                <w:lang w:val="de-CH" w:eastAsia="de-CH"/>
              </w:rPr>
            </w:pPr>
            <w:r w:rsidRPr="00181B0F">
              <w:rPr>
                <w:b/>
                <w:sz w:val="20"/>
                <w:lang w:val="de-CH" w:eastAsia="de-CH"/>
              </w:rPr>
              <w:t>C</w:t>
            </w:r>
            <w:r w:rsidR="00181B0F" w:rsidRPr="00181B0F">
              <w:rPr>
                <w:b/>
                <w:sz w:val="20"/>
                <w:vertAlign w:val="subscript"/>
                <w:lang w:val="de-CH" w:eastAsia="de-CH"/>
              </w:rPr>
              <w:t>90th</w:t>
            </w:r>
            <w:r w:rsidRPr="00181B0F">
              <w:rPr>
                <w:b/>
                <w:sz w:val="20"/>
                <w:lang w:val="de-CH" w:eastAsia="de-CH"/>
              </w:rPr>
              <w:t xml:space="preserve"> (ng/L)</w:t>
            </w:r>
          </w:p>
        </w:tc>
        <w:tc>
          <w:tcPr>
            <w:tcW w:w="850" w:type="dxa"/>
            <w:shd w:val="clear" w:color="auto" w:fill="F2F2F2" w:themeFill="background1" w:themeFillShade="F2"/>
            <w:vAlign w:val="center"/>
          </w:tcPr>
          <w:p w14:paraId="521EC6EA" w14:textId="6CD02075" w:rsidR="005E3A87" w:rsidRPr="00181B0F" w:rsidRDefault="005E3A87" w:rsidP="005E3A87">
            <w:pPr>
              <w:jc w:val="left"/>
              <w:rPr>
                <w:b/>
                <w:sz w:val="20"/>
                <w:lang w:val="de-CH" w:eastAsia="de-CH"/>
              </w:rPr>
            </w:pPr>
            <w:proofErr w:type="spellStart"/>
            <w:r w:rsidRPr="00181B0F">
              <w:rPr>
                <w:b/>
                <w:sz w:val="20"/>
                <w:lang w:val="de-CH" w:eastAsia="de-CH"/>
              </w:rPr>
              <w:t>C</w:t>
            </w:r>
            <w:r w:rsidR="00137512" w:rsidRPr="00181B0F">
              <w:rPr>
                <w:b/>
                <w:sz w:val="20"/>
                <w:vertAlign w:val="subscript"/>
                <w:lang w:val="de-CH" w:eastAsia="de-CH"/>
              </w:rPr>
              <w:t>m</w:t>
            </w:r>
            <w:r w:rsidRPr="00181B0F">
              <w:rPr>
                <w:b/>
                <w:sz w:val="20"/>
                <w:vertAlign w:val="subscript"/>
                <w:lang w:val="de-CH" w:eastAsia="de-CH"/>
              </w:rPr>
              <w:t>ax</w:t>
            </w:r>
            <w:proofErr w:type="spellEnd"/>
            <w:r w:rsidRPr="00181B0F">
              <w:rPr>
                <w:b/>
                <w:sz w:val="20"/>
                <w:vertAlign w:val="subscript"/>
                <w:lang w:val="de-CH" w:eastAsia="de-CH"/>
              </w:rPr>
              <w:t xml:space="preserve"> </w:t>
            </w:r>
            <w:r w:rsidRPr="00181B0F">
              <w:rPr>
                <w:b/>
                <w:sz w:val="20"/>
                <w:lang w:val="de-CH" w:eastAsia="de-CH"/>
              </w:rPr>
              <w:t>(</w:t>
            </w:r>
            <w:proofErr w:type="spellStart"/>
            <w:r w:rsidRPr="00181B0F">
              <w:rPr>
                <w:b/>
                <w:sz w:val="20"/>
                <w:lang w:val="de-CH" w:eastAsia="de-CH"/>
              </w:rPr>
              <w:t>ng</w:t>
            </w:r>
            <w:proofErr w:type="spellEnd"/>
            <w:r w:rsidRPr="00181B0F">
              <w:rPr>
                <w:b/>
                <w:sz w:val="20"/>
                <w:lang w:val="de-CH" w:eastAsia="de-CH"/>
              </w:rPr>
              <w:t>/L)</w:t>
            </w:r>
          </w:p>
        </w:tc>
      </w:tr>
      <w:tr w:rsidR="005E3A87" w:rsidRPr="005E3A87" w14:paraId="4E388C58" w14:textId="77777777" w:rsidTr="00181B0F">
        <w:tc>
          <w:tcPr>
            <w:tcW w:w="2830" w:type="dxa"/>
            <w:shd w:val="clear" w:color="auto" w:fill="auto"/>
            <w:vAlign w:val="center"/>
          </w:tcPr>
          <w:p w14:paraId="06551B3D" w14:textId="77777777" w:rsidR="005E3A87" w:rsidRPr="005E3A87" w:rsidRDefault="005E3A87" w:rsidP="00181B0F">
            <w:pPr>
              <w:jc w:val="left"/>
              <w:rPr>
                <w:sz w:val="20"/>
                <w:lang w:val="it-IT" w:eastAsia="de-CH"/>
              </w:rPr>
            </w:pPr>
            <w:r w:rsidRPr="005E3A87">
              <w:rPr>
                <w:sz w:val="20"/>
                <w:lang w:val="it-IT" w:eastAsia="de-CH"/>
              </w:rPr>
              <w:t>Atrazine</w:t>
            </w:r>
          </w:p>
        </w:tc>
        <w:tc>
          <w:tcPr>
            <w:tcW w:w="1276" w:type="dxa"/>
            <w:shd w:val="clear" w:color="auto" w:fill="auto"/>
            <w:vAlign w:val="center"/>
          </w:tcPr>
          <w:p w14:paraId="0A02A5F8" w14:textId="77777777" w:rsidR="005E3A87" w:rsidRPr="005E3A87" w:rsidRDefault="005E3A87" w:rsidP="00181B0F">
            <w:pPr>
              <w:jc w:val="left"/>
              <w:rPr>
                <w:sz w:val="20"/>
                <w:lang w:val="it-IT" w:eastAsia="de-CH"/>
              </w:rPr>
            </w:pPr>
            <w:proofErr w:type="spellStart"/>
            <w:r w:rsidRPr="005E3A87">
              <w:rPr>
                <w:sz w:val="20"/>
                <w:lang w:val="it-IT" w:eastAsia="de-CH"/>
              </w:rPr>
              <w:t>Pesticide</w:t>
            </w:r>
            <w:proofErr w:type="spellEnd"/>
          </w:p>
        </w:tc>
        <w:tc>
          <w:tcPr>
            <w:tcW w:w="850" w:type="dxa"/>
            <w:vAlign w:val="center"/>
          </w:tcPr>
          <w:p w14:paraId="22A5C50C" w14:textId="77777777" w:rsidR="005E3A87" w:rsidRPr="005E3A87" w:rsidRDefault="005E3A87" w:rsidP="00181B0F">
            <w:pPr>
              <w:jc w:val="left"/>
              <w:rPr>
                <w:sz w:val="20"/>
                <w:lang w:val="it-IT" w:eastAsia="de-CH"/>
              </w:rPr>
            </w:pPr>
            <w:r w:rsidRPr="005E3A87">
              <w:rPr>
                <w:sz w:val="20"/>
                <w:lang w:val="it-IT" w:eastAsia="de-CH"/>
              </w:rPr>
              <w:t>2.2</w:t>
            </w:r>
          </w:p>
        </w:tc>
        <w:tc>
          <w:tcPr>
            <w:tcW w:w="850" w:type="dxa"/>
            <w:vAlign w:val="center"/>
          </w:tcPr>
          <w:p w14:paraId="0F958FFB" w14:textId="2A0EC048" w:rsidR="005E3A87" w:rsidRPr="005E3A87" w:rsidRDefault="005E3A87" w:rsidP="00181B0F">
            <w:pPr>
              <w:jc w:val="left"/>
              <w:rPr>
                <w:sz w:val="20"/>
                <w:lang w:val="it-IT" w:eastAsia="de-CH"/>
              </w:rPr>
            </w:pPr>
            <w:r w:rsidRPr="005E3A87">
              <w:rPr>
                <w:sz w:val="20"/>
                <w:lang w:val="it-IT" w:eastAsia="de-CH"/>
              </w:rPr>
              <w:t>0.5</w:t>
            </w:r>
          </w:p>
        </w:tc>
        <w:tc>
          <w:tcPr>
            <w:tcW w:w="850" w:type="dxa"/>
            <w:shd w:val="clear" w:color="auto" w:fill="auto"/>
            <w:vAlign w:val="center"/>
          </w:tcPr>
          <w:p w14:paraId="4C851D27" w14:textId="6CFF0CA9" w:rsidR="005E3A87" w:rsidRPr="005E3A87" w:rsidRDefault="005E3A87" w:rsidP="00181B0F">
            <w:pPr>
              <w:jc w:val="left"/>
              <w:rPr>
                <w:sz w:val="20"/>
                <w:lang w:val="it-IT" w:eastAsia="de-CH"/>
              </w:rPr>
            </w:pPr>
            <w:r w:rsidRPr="005E3A87">
              <w:rPr>
                <w:sz w:val="20"/>
                <w:lang w:val="it-IT" w:eastAsia="de-CH"/>
              </w:rPr>
              <w:t>25</w:t>
            </w:r>
          </w:p>
        </w:tc>
        <w:tc>
          <w:tcPr>
            <w:tcW w:w="850" w:type="dxa"/>
            <w:vAlign w:val="center"/>
          </w:tcPr>
          <w:p w14:paraId="29BC322B" w14:textId="77777777" w:rsidR="005E3A87" w:rsidRPr="005E3A87" w:rsidRDefault="005E3A87" w:rsidP="00181B0F">
            <w:pPr>
              <w:jc w:val="left"/>
              <w:rPr>
                <w:sz w:val="20"/>
                <w:lang w:val="it-IT" w:eastAsia="de-CH"/>
              </w:rPr>
            </w:pPr>
            <w:r w:rsidRPr="005E3A87">
              <w:rPr>
                <w:sz w:val="20"/>
                <w:lang w:val="it-IT" w:eastAsia="de-CH"/>
              </w:rPr>
              <w:t>7.1</w:t>
            </w:r>
          </w:p>
        </w:tc>
        <w:tc>
          <w:tcPr>
            <w:tcW w:w="850" w:type="dxa"/>
            <w:vAlign w:val="center"/>
          </w:tcPr>
          <w:p w14:paraId="01235F64" w14:textId="34C89DBB" w:rsidR="005E3A87" w:rsidRPr="005E3A87" w:rsidRDefault="000A3530" w:rsidP="00181B0F">
            <w:pPr>
              <w:jc w:val="left"/>
              <w:rPr>
                <w:sz w:val="20"/>
                <w:lang w:val="it-IT" w:eastAsia="de-CH"/>
              </w:rPr>
            </w:pPr>
            <w:r>
              <w:rPr>
                <w:sz w:val="20"/>
                <w:lang w:val="it-IT" w:eastAsia="de-CH"/>
              </w:rPr>
              <w:t>37</w:t>
            </w:r>
          </w:p>
        </w:tc>
        <w:tc>
          <w:tcPr>
            <w:tcW w:w="850" w:type="dxa"/>
            <w:shd w:val="clear" w:color="auto" w:fill="auto"/>
            <w:vAlign w:val="center"/>
          </w:tcPr>
          <w:p w14:paraId="33DD5CA9" w14:textId="34A38B4A" w:rsidR="005E3A87" w:rsidRPr="005E3A87" w:rsidRDefault="005E3A87" w:rsidP="00181B0F">
            <w:pPr>
              <w:jc w:val="left"/>
              <w:rPr>
                <w:sz w:val="20"/>
                <w:lang w:val="it-IT" w:eastAsia="de-CH"/>
              </w:rPr>
            </w:pPr>
            <w:r w:rsidRPr="005E3A87">
              <w:rPr>
                <w:sz w:val="20"/>
                <w:lang w:val="it-IT" w:eastAsia="de-CH"/>
              </w:rPr>
              <w:t>180</w:t>
            </w:r>
          </w:p>
        </w:tc>
      </w:tr>
      <w:tr w:rsidR="005E3A87" w:rsidRPr="005E3A87" w14:paraId="759C7E71" w14:textId="77777777" w:rsidTr="00181B0F">
        <w:tc>
          <w:tcPr>
            <w:tcW w:w="2830" w:type="dxa"/>
            <w:shd w:val="clear" w:color="auto" w:fill="auto"/>
            <w:vAlign w:val="center"/>
          </w:tcPr>
          <w:p w14:paraId="6A6CFAB6" w14:textId="77777777" w:rsidR="005E3A87" w:rsidRPr="005E3A87" w:rsidRDefault="005E3A87" w:rsidP="00181B0F">
            <w:pPr>
              <w:jc w:val="left"/>
              <w:rPr>
                <w:sz w:val="20"/>
                <w:lang w:val="it-IT" w:eastAsia="de-CH"/>
              </w:rPr>
            </w:pPr>
            <w:r w:rsidRPr="005E3A87">
              <w:rPr>
                <w:sz w:val="20"/>
                <w:lang w:val="it-IT" w:eastAsia="de-CH"/>
              </w:rPr>
              <w:t>Bentazone</w:t>
            </w:r>
          </w:p>
        </w:tc>
        <w:tc>
          <w:tcPr>
            <w:tcW w:w="1276" w:type="dxa"/>
            <w:shd w:val="clear" w:color="auto" w:fill="auto"/>
            <w:vAlign w:val="center"/>
          </w:tcPr>
          <w:p w14:paraId="71DB03C9" w14:textId="77777777" w:rsidR="005E3A87" w:rsidRPr="005E3A87" w:rsidRDefault="005E3A87" w:rsidP="00181B0F">
            <w:pPr>
              <w:jc w:val="left"/>
              <w:rPr>
                <w:sz w:val="20"/>
                <w:lang w:val="it-IT" w:eastAsia="de-CH"/>
              </w:rPr>
            </w:pPr>
            <w:proofErr w:type="spellStart"/>
            <w:r w:rsidRPr="005E3A87">
              <w:rPr>
                <w:sz w:val="20"/>
                <w:lang w:val="it-IT" w:eastAsia="de-CH"/>
              </w:rPr>
              <w:t>Pesticide</w:t>
            </w:r>
            <w:proofErr w:type="spellEnd"/>
          </w:p>
        </w:tc>
        <w:tc>
          <w:tcPr>
            <w:tcW w:w="850" w:type="dxa"/>
            <w:vAlign w:val="center"/>
          </w:tcPr>
          <w:p w14:paraId="7A2D36E5" w14:textId="77777777" w:rsidR="005E3A87" w:rsidRPr="005E3A87" w:rsidRDefault="005E3A87" w:rsidP="00181B0F">
            <w:pPr>
              <w:jc w:val="left"/>
              <w:rPr>
                <w:sz w:val="20"/>
                <w:lang w:val="it-IT" w:eastAsia="de-CH"/>
              </w:rPr>
            </w:pPr>
            <w:r w:rsidRPr="005E3A87">
              <w:rPr>
                <w:sz w:val="20"/>
                <w:lang w:val="it-IT" w:eastAsia="de-CH"/>
              </w:rPr>
              <w:t>-0.2</w:t>
            </w:r>
          </w:p>
        </w:tc>
        <w:tc>
          <w:tcPr>
            <w:tcW w:w="850" w:type="dxa"/>
            <w:vAlign w:val="center"/>
          </w:tcPr>
          <w:p w14:paraId="4D16B303" w14:textId="725AC07D" w:rsidR="005E3A87" w:rsidRPr="005E3A87" w:rsidRDefault="005E3A87" w:rsidP="00181B0F">
            <w:pPr>
              <w:jc w:val="left"/>
              <w:rPr>
                <w:sz w:val="20"/>
                <w:lang w:val="it-IT" w:eastAsia="de-CH"/>
              </w:rPr>
            </w:pPr>
            <w:r w:rsidRPr="005E3A87">
              <w:rPr>
                <w:sz w:val="20"/>
                <w:lang w:val="it-IT" w:eastAsia="de-CH"/>
              </w:rPr>
              <w:t>0.1</w:t>
            </w:r>
          </w:p>
        </w:tc>
        <w:tc>
          <w:tcPr>
            <w:tcW w:w="850" w:type="dxa"/>
            <w:shd w:val="clear" w:color="auto" w:fill="auto"/>
            <w:vAlign w:val="center"/>
          </w:tcPr>
          <w:p w14:paraId="339FD937" w14:textId="77C148E7" w:rsidR="005E3A87" w:rsidRPr="005E3A87" w:rsidRDefault="005E3A87" w:rsidP="00181B0F">
            <w:pPr>
              <w:jc w:val="left"/>
              <w:rPr>
                <w:sz w:val="20"/>
                <w:lang w:val="it-IT" w:eastAsia="de-CH"/>
              </w:rPr>
            </w:pPr>
            <w:r w:rsidRPr="005E3A87">
              <w:rPr>
                <w:sz w:val="20"/>
                <w:lang w:val="it-IT" w:eastAsia="de-CH"/>
              </w:rPr>
              <w:t>18</w:t>
            </w:r>
          </w:p>
        </w:tc>
        <w:tc>
          <w:tcPr>
            <w:tcW w:w="850" w:type="dxa"/>
            <w:vAlign w:val="center"/>
          </w:tcPr>
          <w:p w14:paraId="165CEDB9" w14:textId="77777777" w:rsidR="005E3A87" w:rsidRPr="005E3A87" w:rsidRDefault="005E3A87" w:rsidP="00181B0F">
            <w:pPr>
              <w:jc w:val="left"/>
              <w:rPr>
                <w:sz w:val="20"/>
                <w:lang w:val="it-IT" w:eastAsia="de-CH"/>
              </w:rPr>
            </w:pPr>
            <w:r w:rsidRPr="005E3A87">
              <w:rPr>
                <w:sz w:val="20"/>
                <w:lang w:val="it-IT" w:eastAsia="de-CH"/>
              </w:rPr>
              <w:t>0.5</w:t>
            </w:r>
          </w:p>
        </w:tc>
        <w:tc>
          <w:tcPr>
            <w:tcW w:w="850" w:type="dxa"/>
            <w:vAlign w:val="center"/>
          </w:tcPr>
          <w:p w14:paraId="7433ADF6" w14:textId="33B791E6" w:rsidR="005E3A87" w:rsidRPr="005E3A87" w:rsidRDefault="000A3530" w:rsidP="00181B0F">
            <w:pPr>
              <w:jc w:val="left"/>
              <w:rPr>
                <w:sz w:val="20"/>
                <w:lang w:val="it-IT" w:eastAsia="de-CH"/>
              </w:rPr>
            </w:pPr>
            <w:r>
              <w:rPr>
                <w:sz w:val="20"/>
                <w:lang w:val="it-IT" w:eastAsia="de-CH"/>
              </w:rPr>
              <w:t>23</w:t>
            </w:r>
          </w:p>
        </w:tc>
        <w:tc>
          <w:tcPr>
            <w:tcW w:w="850" w:type="dxa"/>
            <w:shd w:val="clear" w:color="auto" w:fill="auto"/>
            <w:vAlign w:val="center"/>
          </w:tcPr>
          <w:p w14:paraId="0618846A" w14:textId="450F3A12" w:rsidR="005E3A87" w:rsidRPr="005E3A87" w:rsidRDefault="005E3A87" w:rsidP="00181B0F">
            <w:pPr>
              <w:jc w:val="left"/>
              <w:rPr>
                <w:sz w:val="20"/>
                <w:lang w:val="it-IT" w:eastAsia="de-CH"/>
              </w:rPr>
            </w:pPr>
            <w:r w:rsidRPr="005E3A87">
              <w:rPr>
                <w:sz w:val="20"/>
                <w:lang w:val="it-IT" w:eastAsia="de-CH"/>
              </w:rPr>
              <w:t>260</w:t>
            </w:r>
          </w:p>
        </w:tc>
      </w:tr>
      <w:tr w:rsidR="005E3A87" w:rsidRPr="00431EBA" w14:paraId="6F34B259" w14:textId="77777777" w:rsidTr="00181B0F">
        <w:tc>
          <w:tcPr>
            <w:tcW w:w="2830" w:type="dxa"/>
            <w:shd w:val="clear" w:color="auto" w:fill="auto"/>
            <w:vAlign w:val="center"/>
          </w:tcPr>
          <w:p w14:paraId="0FABAE23" w14:textId="77777777" w:rsidR="005E3A87" w:rsidRPr="005E3A87" w:rsidRDefault="005E3A87" w:rsidP="00181B0F">
            <w:pPr>
              <w:jc w:val="left"/>
              <w:rPr>
                <w:sz w:val="20"/>
                <w:lang w:val="it-IT" w:eastAsia="de-CH"/>
              </w:rPr>
            </w:pPr>
            <w:r w:rsidRPr="005E3A87">
              <w:rPr>
                <w:sz w:val="20"/>
                <w:lang w:val="it-IT" w:eastAsia="de-CH"/>
              </w:rPr>
              <w:t>Atrazine-</w:t>
            </w:r>
            <w:proofErr w:type="spellStart"/>
            <w:r w:rsidRPr="005E3A87">
              <w:rPr>
                <w:sz w:val="20"/>
                <w:lang w:val="it-IT" w:eastAsia="de-CH"/>
              </w:rPr>
              <w:t>desethyl</w:t>
            </w:r>
            <w:proofErr w:type="spellEnd"/>
          </w:p>
        </w:tc>
        <w:tc>
          <w:tcPr>
            <w:tcW w:w="1276" w:type="dxa"/>
            <w:shd w:val="clear" w:color="auto" w:fill="auto"/>
            <w:vAlign w:val="center"/>
          </w:tcPr>
          <w:p w14:paraId="48443C92" w14:textId="77777777" w:rsidR="005E3A87" w:rsidRPr="005E3A87" w:rsidRDefault="005E3A87" w:rsidP="00181B0F">
            <w:pPr>
              <w:jc w:val="left"/>
              <w:rPr>
                <w:sz w:val="20"/>
                <w:lang w:val="it-IT" w:eastAsia="de-CH"/>
              </w:rPr>
            </w:pPr>
            <w:proofErr w:type="spellStart"/>
            <w:r w:rsidRPr="005E3A87">
              <w:rPr>
                <w:sz w:val="20"/>
                <w:lang w:val="it-IT" w:eastAsia="de-CH"/>
              </w:rPr>
              <w:t>Pesticide</w:t>
            </w:r>
            <w:proofErr w:type="spellEnd"/>
            <w:r w:rsidRPr="005E3A87">
              <w:rPr>
                <w:sz w:val="20"/>
                <w:lang w:val="it-IT" w:eastAsia="de-CH"/>
              </w:rPr>
              <w:t xml:space="preserve"> TP</w:t>
            </w:r>
          </w:p>
        </w:tc>
        <w:tc>
          <w:tcPr>
            <w:tcW w:w="850" w:type="dxa"/>
            <w:vAlign w:val="center"/>
          </w:tcPr>
          <w:p w14:paraId="7CD48E4B" w14:textId="77777777" w:rsidR="005E3A87" w:rsidRPr="005E3A87" w:rsidRDefault="005E3A87" w:rsidP="00181B0F">
            <w:pPr>
              <w:jc w:val="left"/>
              <w:rPr>
                <w:sz w:val="20"/>
                <w:lang w:val="it-IT" w:eastAsia="de-CH"/>
              </w:rPr>
            </w:pPr>
            <w:r w:rsidRPr="005E3A87">
              <w:rPr>
                <w:sz w:val="20"/>
                <w:lang w:val="it-IT" w:eastAsia="de-CH"/>
              </w:rPr>
              <w:t>1.5</w:t>
            </w:r>
          </w:p>
        </w:tc>
        <w:tc>
          <w:tcPr>
            <w:tcW w:w="850" w:type="dxa"/>
            <w:vAlign w:val="center"/>
          </w:tcPr>
          <w:p w14:paraId="40F88418" w14:textId="0A1C11DF" w:rsidR="005E3A87" w:rsidRPr="005E3A87" w:rsidRDefault="005E3A87" w:rsidP="00181B0F">
            <w:pPr>
              <w:jc w:val="left"/>
              <w:rPr>
                <w:sz w:val="20"/>
                <w:lang w:val="it-IT" w:eastAsia="de-CH"/>
              </w:rPr>
            </w:pPr>
            <w:r w:rsidRPr="005E3A87">
              <w:rPr>
                <w:sz w:val="20"/>
                <w:lang w:val="it-IT" w:eastAsia="de-CH"/>
              </w:rPr>
              <w:t>0.5</w:t>
            </w:r>
          </w:p>
        </w:tc>
        <w:tc>
          <w:tcPr>
            <w:tcW w:w="850" w:type="dxa"/>
            <w:shd w:val="clear" w:color="auto" w:fill="auto"/>
            <w:vAlign w:val="center"/>
          </w:tcPr>
          <w:p w14:paraId="0163CA9C" w14:textId="7ADE65E9" w:rsidR="005E3A87" w:rsidRPr="005E3A87" w:rsidRDefault="005E3A87" w:rsidP="00181B0F">
            <w:pPr>
              <w:jc w:val="left"/>
              <w:rPr>
                <w:sz w:val="20"/>
                <w:lang w:val="it-IT" w:eastAsia="de-CH"/>
              </w:rPr>
            </w:pPr>
            <w:r w:rsidRPr="005E3A87">
              <w:rPr>
                <w:sz w:val="20"/>
                <w:lang w:val="it-IT" w:eastAsia="de-CH"/>
              </w:rPr>
              <w:t>29</w:t>
            </w:r>
          </w:p>
        </w:tc>
        <w:tc>
          <w:tcPr>
            <w:tcW w:w="850" w:type="dxa"/>
            <w:vAlign w:val="center"/>
          </w:tcPr>
          <w:p w14:paraId="6C6083C8" w14:textId="77777777" w:rsidR="005E3A87" w:rsidRPr="00AC3857" w:rsidRDefault="005E3A87" w:rsidP="00181B0F">
            <w:pPr>
              <w:jc w:val="left"/>
              <w:rPr>
                <w:sz w:val="20"/>
                <w:lang w:val="de-CH" w:eastAsia="de-CH"/>
              </w:rPr>
            </w:pPr>
            <w:r w:rsidRPr="00AC3857">
              <w:rPr>
                <w:sz w:val="20"/>
                <w:lang w:val="de-CH" w:eastAsia="de-CH"/>
              </w:rPr>
              <w:t>11</w:t>
            </w:r>
          </w:p>
        </w:tc>
        <w:tc>
          <w:tcPr>
            <w:tcW w:w="850" w:type="dxa"/>
            <w:vAlign w:val="center"/>
          </w:tcPr>
          <w:p w14:paraId="58965994" w14:textId="5A00135D" w:rsidR="005E3A87" w:rsidRPr="00AC3857" w:rsidRDefault="000A3530" w:rsidP="00181B0F">
            <w:pPr>
              <w:jc w:val="left"/>
              <w:rPr>
                <w:sz w:val="20"/>
                <w:lang w:val="de-CH" w:eastAsia="de-CH"/>
              </w:rPr>
            </w:pPr>
            <w:r>
              <w:rPr>
                <w:sz w:val="20"/>
                <w:lang w:val="de-CH" w:eastAsia="de-CH"/>
              </w:rPr>
              <w:t>59</w:t>
            </w:r>
          </w:p>
        </w:tc>
        <w:tc>
          <w:tcPr>
            <w:tcW w:w="850" w:type="dxa"/>
            <w:shd w:val="clear" w:color="auto" w:fill="auto"/>
            <w:vAlign w:val="center"/>
          </w:tcPr>
          <w:p w14:paraId="4DAC89F1" w14:textId="7DA5B179" w:rsidR="005E3A87" w:rsidRPr="00AC3857" w:rsidRDefault="005E3A87" w:rsidP="00181B0F">
            <w:pPr>
              <w:jc w:val="left"/>
              <w:rPr>
                <w:sz w:val="20"/>
                <w:lang w:val="de-CH" w:eastAsia="de-CH"/>
              </w:rPr>
            </w:pPr>
            <w:r w:rsidRPr="00AC3857">
              <w:rPr>
                <w:sz w:val="20"/>
                <w:lang w:val="de-CH" w:eastAsia="de-CH"/>
              </w:rPr>
              <w:t>150</w:t>
            </w:r>
          </w:p>
        </w:tc>
      </w:tr>
      <w:tr w:rsidR="005E3A87" w:rsidRPr="00431EBA" w14:paraId="197863CE" w14:textId="77777777" w:rsidTr="00181B0F">
        <w:tc>
          <w:tcPr>
            <w:tcW w:w="2830" w:type="dxa"/>
            <w:shd w:val="clear" w:color="auto" w:fill="auto"/>
            <w:vAlign w:val="center"/>
          </w:tcPr>
          <w:p w14:paraId="53AAEB54" w14:textId="77777777" w:rsidR="005E3A87" w:rsidRPr="00AC3857" w:rsidRDefault="005E3A87" w:rsidP="00181B0F">
            <w:pPr>
              <w:jc w:val="left"/>
              <w:rPr>
                <w:sz w:val="20"/>
                <w:lang w:val="de-CH" w:eastAsia="de-CH"/>
              </w:rPr>
            </w:pPr>
            <w:proofErr w:type="spellStart"/>
            <w:r w:rsidRPr="00AC3857">
              <w:rPr>
                <w:sz w:val="20"/>
                <w:lang w:val="de-CH" w:eastAsia="de-CH"/>
              </w:rPr>
              <w:t>Atrazine</w:t>
            </w:r>
            <w:proofErr w:type="spellEnd"/>
            <w:r w:rsidRPr="00AC3857">
              <w:rPr>
                <w:sz w:val="20"/>
                <w:lang w:val="de-CH" w:eastAsia="de-CH"/>
              </w:rPr>
              <w:t>-desethyl-</w:t>
            </w:r>
            <w:proofErr w:type="spellStart"/>
            <w:r w:rsidRPr="00AC3857">
              <w:rPr>
                <w:sz w:val="20"/>
                <w:lang w:val="de-CH" w:eastAsia="de-CH"/>
              </w:rPr>
              <w:t>desisopropyl</w:t>
            </w:r>
            <w:proofErr w:type="spellEnd"/>
          </w:p>
        </w:tc>
        <w:tc>
          <w:tcPr>
            <w:tcW w:w="1276" w:type="dxa"/>
            <w:shd w:val="clear" w:color="auto" w:fill="auto"/>
            <w:vAlign w:val="center"/>
          </w:tcPr>
          <w:p w14:paraId="5F12DE0A" w14:textId="77777777" w:rsidR="005E3A87" w:rsidRPr="00AC3857" w:rsidRDefault="005E3A87" w:rsidP="00181B0F">
            <w:pPr>
              <w:jc w:val="left"/>
              <w:rPr>
                <w:sz w:val="20"/>
                <w:lang w:val="de-CH" w:eastAsia="de-CH"/>
              </w:rPr>
            </w:pPr>
            <w:proofErr w:type="spellStart"/>
            <w:r w:rsidRPr="00AC3857">
              <w:rPr>
                <w:sz w:val="20"/>
                <w:lang w:val="de-CH" w:eastAsia="de-CH"/>
              </w:rPr>
              <w:t>Pesticide</w:t>
            </w:r>
            <w:proofErr w:type="spellEnd"/>
            <w:r w:rsidRPr="00AC3857">
              <w:rPr>
                <w:sz w:val="20"/>
                <w:lang w:val="de-CH" w:eastAsia="de-CH"/>
              </w:rPr>
              <w:t xml:space="preserve"> TP</w:t>
            </w:r>
          </w:p>
        </w:tc>
        <w:tc>
          <w:tcPr>
            <w:tcW w:w="850" w:type="dxa"/>
            <w:vAlign w:val="center"/>
          </w:tcPr>
          <w:p w14:paraId="71DD0E61" w14:textId="77777777" w:rsidR="005E3A87" w:rsidRPr="00AC3857" w:rsidRDefault="005E3A87" w:rsidP="00181B0F">
            <w:pPr>
              <w:jc w:val="left"/>
              <w:rPr>
                <w:sz w:val="20"/>
                <w:lang w:val="de-CH" w:eastAsia="de-CH"/>
              </w:rPr>
            </w:pPr>
            <w:r w:rsidRPr="00AC3857">
              <w:rPr>
                <w:sz w:val="20"/>
                <w:lang w:val="de-CH" w:eastAsia="de-CH"/>
              </w:rPr>
              <w:t>0.5</w:t>
            </w:r>
          </w:p>
        </w:tc>
        <w:tc>
          <w:tcPr>
            <w:tcW w:w="850" w:type="dxa"/>
            <w:vAlign w:val="center"/>
          </w:tcPr>
          <w:p w14:paraId="5AD1BFA7" w14:textId="382F4BEC" w:rsidR="005E3A87" w:rsidRPr="00AC3857" w:rsidRDefault="005E3A87" w:rsidP="00181B0F">
            <w:pPr>
              <w:jc w:val="left"/>
              <w:rPr>
                <w:sz w:val="20"/>
                <w:lang w:val="de-CH" w:eastAsia="de-CH"/>
              </w:rPr>
            </w:pPr>
            <w:r w:rsidRPr="00AC3857">
              <w:rPr>
                <w:sz w:val="20"/>
                <w:lang w:val="de-CH" w:eastAsia="de-CH"/>
              </w:rPr>
              <w:t>0.3</w:t>
            </w:r>
          </w:p>
        </w:tc>
        <w:tc>
          <w:tcPr>
            <w:tcW w:w="850" w:type="dxa"/>
            <w:shd w:val="clear" w:color="auto" w:fill="auto"/>
            <w:vAlign w:val="center"/>
          </w:tcPr>
          <w:p w14:paraId="487D9CE5" w14:textId="18F06EA7" w:rsidR="005E3A87" w:rsidRPr="00AC3857" w:rsidRDefault="005E3A87" w:rsidP="00181B0F">
            <w:pPr>
              <w:jc w:val="left"/>
              <w:rPr>
                <w:sz w:val="20"/>
                <w:lang w:val="de-CH" w:eastAsia="de-CH"/>
              </w:rPr>
            </w:pPr>
            <w:r w:rsidRPr="00AC3857">
              <w:rPr>
                <w:sz w:val="20"/>
                <w:lang w:val="de-CH" w:eastAsia="de-CH"/>
              </w:rPr>
              <w:t>30</w:t>
            </w:r>
          </w:p>
        </w:tc>
        <w:tc>
          <w:tcPr>
            <w:tcW w:w="850" w:type="dxa"/>
            <w:vAlign w:val="center"/>
          </w:tcPr>
          <w:p w14:paraId="15F8C833" w14:textId="77777777" w:rsidR="005E3A87" w:rsidRPr="00AC3857" w:rsidRDefault="005E3A87" w:rsidP="00181B0F">
            <w:pPr>
              <w:jc w:val="left"/>
              <w:rPr>
                <w:sz w:val="20"/>
                <w:lang w:val="de-CH" w:eastAsia="de-CH"/>
              </w:rPr>
            </w:pPr>
            <w:r w:rsidRPr="00AC3857">
              <w:rPr>
                <w:sz w:val="20"/>
                <w:lang w:val="de-CH" w:eastAsia="de-CH"/>
              </w:rPr>
              <w:t>17</w:t>
            </w:r>
          </w:p>
        </w:tc>
        <w:tc>
          <w:tcPr>
            <w:tcW w:w="850" w:type="dxa"/>
            <w:vAlign w:val="center"/>
          </w:tcPr>
          <w:p w14:paraId="2165D86D" w14:textId="5E7FD823" w:rsidR="005E3A87" w:rsidRPr="00AC3857" w:rsidRDefault="000A3530" w:rsidP="00181B0F">
            <w:pPr>
              <w:jc w:val="left"/>
              <w:rPr>
                <w:sz w:val="20"/>
                <w:lang w:val="de-CH" w:eastAsia="de-CH"/>
              </w:rPr>
            </w:pPr>
            <w:r>
              <w:rPr>
                <w:sz w:val="20"/>
                <w:lang w:val="de-CH" w:eastAsia="de-CH"/>
              </w:rPr>
              <w:t>78</w:t>
            </w:r>
          </w:p>
        </w:tc>
        <w:tc>
          <w:tcPr>
            <w:tcW w:w="850" w:type="dxa"/>
            <w:shd w:val="clear" w:color="auto" w:fill="auto"/>
            <w:vAlign w:val="center"/>
          </w:tcPr>
          <w:p w14:paraId="0424F930" w14:textId="1AF76EE4" w:rsidR="005E3A87" w:rsidRPr="00AC3857" w:rsidRDefault="005E3A87" w:rsidP="00181B0F">
            <w:pPr>
              <w:jc w:val="left"/>
              <w:rPr>
                <w:sz w:val="20"/>
                <w:lang w:val="de-CH" w:eastAsia="de-CH"/>
              </w:rPr>
            </w:pPr>
            <w:r w:rsidRPr="00AC3857">
              <w:rPr>
                <w:sz w:val="20"/>
                <w:lang w:val="de-CH" w:eastAsia="de-CH"/>
              </w:rPr>
              <w:t>120</w:t>
            </w:r>
          </w:p>
        </w:tc>
      </w:tr>
      <w:tr w:rsidR="005E3A87" w:rsidRPr="00C661EB" w14:paraId="37A3ED74" w14:textId="77777777" w:rsidTr="00181B0F">
        <w:tc>
          <w:tcPr>
            <w:tcW w:w="2830" w:type="dxa"/>
            <w:shd w:val="clear" w:color="auto" w:fill="auto"/>
            <w:vAlign w:val="center"/>
          </w:tcPr>
          <w:p w14:paraId="3A99A69C" w14:textId="77777777" w:rsidR="005E3A87" w:rsidRPr="00AC3857" w:rsidRDefault="005E3A87" w:rsidP="00181B0F">
            <w:pPr>
              <w:jc w:val="left"/>
              <w:rPr>
                <w:sz w:val="20"/>
                <w:lang w:val="de-CH" w:eastAsia="de-CH"/>
              </w:rPr>
            </w:pPr>
            <w:proofErr w:type="spellStart"/>
            <w:r w:rsidRPr="00AC3857">
              <w:rPr>
                <w:sz w:val="20"/>
                <w:lang w:val="de-CH" w:eastAsia="de-CH"/>
              </w:rPr>
              <w:t>Chloridazon-desphenyl</w:t>
            </w:r>
            <w:proofErr w:type="spellEnd"/>
          </w:p>
        </w:tc>
        <w:tc>
          <w:tcPr>
            <w:tcW w:w="1276" w:type="dxa"/>
            <w:shd w:val="clear" w:color="auto" w:fill="auto"/>
            <w:vAlign w:val="center"/>
          </w:tcPr>
          <w:p w14:paraId="3399812B" w14:textId="77777777" w:rsidR="005E3A87" w:rsidRPr="00AC3857" w:rsidRDefault="005E3A87" w:rsidP="00181B0F">
            <w:pPr>
              <w:jc w:val="left"/>
              <w:rPr>
                <w:sz w:val="20"/>
                <w:lang w:val="de-CH" w:eastAsia="de-CH"/>
              </w:rPr>
            </w:pPr>
            <w:proofErr w:type="spellStart"/>
            <w:r w:rsidRPr="00AC3857">
              <w:rPr>
                <w:sz w:val="20"/>
                <w:lang w:val="de-CH" w:eastAsia="de-CH"/>
              </w:rPr>
              <w:t>Pesticide</w:t>
            </w:r>
            <w:proofErr w:type="spellEnd"/>
            <w:r w:rsidRPr="00AC3857">
              <w:rPr>
                <w:sz w:val="20"/>
                <w:lang w:val="de-CH" w:eastAsia="de-CH"/>
              </w:rPr>
              <w:t xml:space="preserve"> TP</w:t>
            </w:r>
          </w:p>
        </w:tc>
        <w:tc>
          <w:tcPr>
            <w:tcW w:w="850" w:type="dxa"/>
            <w:vAlign w:val="center"/>
          </w:tcPr>
          <w:p w14:paraId="22FD27F0" w14:textId="77777777" w:rsidR="005E3A87" w:rsidRPr="00AC3857" w:rsidRDefault="005E3A87" w:rsidP="00181B0F">
            <w:pPr>
              <w:jc w:val="left"/>
              <w:rPr>
                <w:sz w:val="20"/>
                <w:lang w:val="de-CH" w:eastAsia="de-CH"/>
              </w:rPr>
            </w:pPr>
            <w:r w:rsidRPr="00AC3857">
              <w:rPr>
                <w:sz w:val="20"/>
                <w:lang w:val="de-CH" w:eastAsia="de-CH"/>
              </w:rPr>
              <w:t>-0.7</w:t>
            </w:r>
          </w:p>
        </w:tc>
        <w:tc>
          <w:tcPr>
            <w:tcW w:w="850" w:type="dxa"/>
            <w:vAlign w:val="center"/>
          </w:tcPr>
          <w:p w14:paraId="430DCA4B" w14:textId="0980651E" w:rsidR="005E3A87" w:rsidRPr="00AC3857" w:rsidRDefault="005E3A87" w:rsidP="00181B0F">
            <w:pPr>
              <w:jc w:val="left"/>
              <w:rPr>
                <w:sz w:val="20"/>
                <w:lang w:val="de-CH" w:eastAsia="de-CH"/>
              </w:rPr>
            </w:pPr>
            <w:r w:rsidRPr="00AC3857">
              <w:rPr>
                <w:sz w:val="20"/>
                <w:lang w:val="de-CH" w:eastAsia="de-CH"/>
              </w:rPr>
              <w:t>1</w:t>
            </w:r>
          </w:p>
        </w:tc>
        <w:tc>
          <w:tcPr>
            <w:tcW w:w="850" w:type="dxa"/>
            <w:shd w:val="clear" w:color="auto" w:fill="auto"/>
            <w:vAlign w:val="center"/>
          </w:tcPr>
          <w:p w14:paraId="64F1E971" w14:textId="3BB25258" w:rsidR="005E3A87" w:rsidRPr="00AC3857" w:rsidRDefault="005E3A87" w:rsidP="00181B0F">
            <w:pPr>
              <w:jc w:val="left"/>
              <w:rPr>
                <w:sz w:val="20"/>
                <w:lang w:val="de-CH" w:eastAsia="de-CH"/>
              </w:rPr>
            </w:pPr>
            <w:r w:rsidRPr="00AC3857">
              <w:rPr>
                <w:sz w:val="20"/>
                <w:lang w:val="de-CH" w:eastAsia="de-CH"/>
              </w:rPr>
              <w:t>28</w:t>
            </w:r>
          </w:p>
        </w:tc>
        <w:tc>
          <w:tcPr>
            <w:tcW w:w="850" w:type="dxa"/>
            <w:vAlign w:val="center"/>
          </w:tcPr>
          <w:p w14:paraId="2F958A4A" w14:textId="77777777" w:rsidR="005E3A87" w:rsidRPr="00AC3857" w:rsidRDefault="005E3A87" w:rsidP="00181B0F">
            <w:pPr>
              <w:jc w:val="left"/>
              <w:rPr>
                <w:sz w:val="20"/>
                <w:lang w:val="de-CH" w:eastAsia="de-CH"/>
              </w:rPr>
            </w:pPr>
            <w:r w:rsidRPr="00AC3857">
              <w:rPr>
                <w:sz w:val="20"/>
                <w:lang w:val="de-CH" w:eastAsia="de-CH"/>
              </w:rPr>
              <w:t>120</w:t>
            </w:r>
          </w:p>
        </w:tc>
        <w:tc>
          <w:tcPr>
            <w:tcW w:w="850" w:type="dxa"/>
            <w:vAlign w:val="center"/>
          </w:tcPr>
          <w:p w14:paraId="59D8941A" w14:textId="18E8B09A" w:rsidR="005E3A87" w:rsidRPr="00AC3857" w:rsidRDefault="000A3530" w:rsidP="00181B0F">
            <w:pPr>
              <w:jc w:val="left"/>
              <w:rPr>
                <w:sz w:val="20"/>
                <w:lang w:val="de-CH" w:eastAsia="de-CH"/>
              </w:rPr>
            </w:pPr>
            <w:r>
              <w:rPr>
                <w:sz w:val="20"/>
                <w:lang w:val="de-CH" w:eastAsia="de-CH"/>
              </w:rPr>
              <w:t>1200</w:t>
            </w:r>
          </w:p>
        </w:tc>
        <w:tc>
          <w:tcPr>
            <w:tcW w:w="850" w:type="dxa"/>
            <w:shd w:val="clear" w:color="auto" w:fill="auto"/>
            <w:vAlign w:val="center"/>
          </w:tcPr>
          <w:p w14:paraId="16E7047D" w14:textId="5B2C9EE5" w:rsidR="005E3A87" w:rsidRPr="00AC3857" w:rsidRDefault="005E3A87" w:rsidP="00181B0F">
            <w:pPr>
              <w:jc w:val="left"/>
              <w:rPr>
                <w:sz w:val="20"/>
                <w:lang w:val="de-CH" w:eastAsia="de-CH"/>
              </w:rPr>
            </w:pPr>
            <w:r w:rsidRPr="00AC3857">
              <w:rPr>
                <w:sz w:val="20"/>
                <w:lang w:val="de-CH" w:eastAsia="de-CH"/>
              </w:rPr>
              <w:t>1800</w:t>
            </w:r>
          </w:p>
        </w:tc>
      </w:tr>
      <w:tr w:rsidR="005E3A87" w:rsidRPr="00C661EB" w14:paraId="131ACF48" w14:textId="77777777" w:rsidTr="00181B0F">
        <w:tc>
          <w:tcPr>
            <w:tcW w:w="2830" w:type="dxa"/>
            <w:shd w:val="clear" w:color="auto" w:fill="auto"/>
            <w:vAlign w:val="center"/>
          </w:tcPr>
          <w:p w14:paraId="26D93DE7" w14:textId="77777777" w:rsidR="005E3A87" w:rsidRPr="00AC3857" w:rsidRDefault="005E3A87" w:rsidP="00181B0F">
            <w:pPr>
              <w:jc w:val="left"/>
              <w:rPr>
                <w:sz w:val="20"/>
                <w:lang w:val="de-CH" w:eastAsia="de-CH"/>
              </w:rPr>
            </w:pPr>
            <w:proofErr w:type="spellStart"/>
            <w:r w:rsidRPr="00AC3857">
              <w:rPr>
                <w:sz w:val="20"/>
                <w:lang w:val="de-CH" w:eastAsia="de-CH"/>
              </w:rPr>
              <w:t>Chloridazon</w:t>
            </w:r>
            <w:proofErr w:type="spellEnd"/>
            <w:r w:rsidRPr="00AC3857">
              <w:rPr>
                <w:sz w:val="20"/>
                <w:lang w:val="de-CH" w:eastAsia="de-CH"/>
              </w:rPr>
              <w:t>-methyl-</w:t>
            </w:r>
            <w:proofErr w:type="spellStart"/>
            <w:r w:rsidRPr="00AC3857">
              <w:rPr>
                <w:sz w:val="20"/>
                <w:lang w:val="de-CH" w:eastAsia="de-CH"/>
              </w:rPr>
              <w:t>desphenyl</w:t>
            </w:r>
            <w:proofErr w:type="spellEnd"/>
          </w:p>
        </w:tc>
        <w:tc>
          <w:tcPr>
            <w:tcW w:w="1276" w:type="dxa"/>
            <w:shd w:val="clear" w:color="auto" w:fill="auto"/>
            <w:vAlign w:val="center"/>
          </w:tcPr>
          <w:p w14:paraId="77289AAF" w14:textId="77777777" w:rsidR="005E3A87" w:rsidRPr="00AC3857" w:rsidRDefault="005E3A87" w:rsidP="00181B0F">
            <w:pPr>
              <w:jc w:val="left"/>
              <w:rPr>
                <w:sz w:val="20"/>
                <w:lang w:val="de-CH" w:eastAsia="de-CH"/>
              </w:rPr>
            </w:pPr>
            <w:proofErr w:type="spellStart"/>
            <w:r w:rsidRPr="00AC3857">
              <w:rPr>
                <w:sz w:val="20"/>
                <w:lang w:val="de-CH" w:eastAsia="de-CH"/>
              </w:rPr>
              <w:t>Pesticide</w:t>
            </w:r>
            <w:proofErr w:type="spellEnd"/>
            <w:r w:rsidRPr="00AC3857">
              <w:rPr>
                <w:sz w:val="20"/>
                <w:lang w:val="de-CH" w:eastAsia="de-CH"/>
              </w:rPr>
              <w:t xml:space="preserve"> TP</w:t>
            </w:r>
          </w:p>
        </w:tc>
        <w:tc>
          <w:tcPr>
            <w:tcW w:w="850" w:type="dxa"/>
            <w:vAlign w:val="center"/>
          </w:tcPr>
          <w:p w14:paraId="6BC32E9F" w14:textId="77777777" w:rsidR="005E3A87" w:rsidRPr="00AC3857" w:rsidRDefault="005E3A87" w:rsidP="00181B0F">
            <w:pPr>
              <w:jc w:val="left"/>
              <w:rPr>
                <w:sz w:val="20"/>
                <w:lang w:val="de-CH" w:eastAsia="de-CH"/>
              </w:rPr>
            </w:pPr>
            <w:r w:rsidRPr="00AC3857">
              <w:rPr>
                <w:sz w:val="20"/>
                <w:lang w:val="de-CH" w:eastAsia="de-CH"/>
              </w:rPr>
              <w:t>-0.6</w:t>
            </w:r>
          </w:p>
        </w:tc>
        <w:tc>
          <w:tcPr>
            <w:tcW w:w="850" w:type="dxa"/>
            <w:vAlign w:val="center"/>
          </w:tcPr>
          <w:p w14:paraId="0E92254A" w14:textId="0106653B" w:rsidR="005E3A87" w:rsidRPr="00AC3857" w:rsidRDefault="005E3A87" w:rsidP="00181B0F">
            <w:pPr>
              <w:jc w:val="left"/>
              <w:rPr>
                <w:sz w:val="20"/>
                <w:lang w:val="de-CH" w:eastAsia="de-CH"/>
              </w:rPr>
            </w:pPr>
            <w:r w:rsidRPr="00AC3857">
              <w:rPr>
                <w:sz w:val="20"/>
                <w:lang w:val="de-CH" w:eastAsia="de-CH"/>
              </w:rPr>
              <w:t>0.5</w:t>
            </w:r>
          </w:p>
        </w:tc>
        <w:tc>
          <w:tcPr>
            <w:tcW w:w="850" w:type="dxa"/>
            <w:shd w:val="clear" w:color="auto" w:fill="auto"/>
            <w:vAlign w:val="center"/>
          </w:tcPr>
          <w:p w14:paraId="39E07E20" w14:textId="03166E4D" w:rsidR="005E3A87" w:rsidRPr="00AC3857" w:rsidRDefault="005E3A87" w:rsidP="00181B0F">
            <w:pPr>
              <w:jc w:val="left"/>
              <w:rPr>
                <w:sz w:val="20"/>
                <w:lang w:val="de-CH" w:eastAsia="de-CH"/>
              </w:rPr>
            </w:pPr>
            <w:r w:rsidRPr="00AC3857">
              <w:rPr>
                <w:sz w:val="20"/>
                <w:lang w:val="de-CH" w:eastAsia="de-CH"/>
              </w:rPr>
              <w:t>22</w:t>
            </w:r>
          </w:p>
        </w:tc>
        <w:tc>
          <w:tcPr>
            <w:tcW w:w="850" w:type="dxa"/>
            <w:vAlign w:val="center"/>
          </w:tcPr>
          <w:p w14:paraId="74536EE8" w14:textId="77777777" w:rsidR="005E3A87" w:rsidRPr="00AC3857" w:rsidRDefault="005E3A87" w:rsidP="00181B0F">
            <w:pPr>
              <w:jc w:val="left"/>
              <w:rPr>
                <w:sz w:val="20"/>
                <w:lang w:val="de-CH" w:eastAsia="de-CH"/>
              </w:rPr>
            </w:pPr>
            <w:r w:rsidRPr="00AC3857">
              <w:rPr>
                <w:sz w:val="20"/>
                <w:lang w:val="de-CH" w:eastAsia="de-CH"/>
              </w:rPr>
              <w:t>32</w:t>
            </w:r>
          </w:p>
        </w:tc>
        <w:tc>
          <w:tcPr>
            <w:tcW w:w="850" w:type="dxa"/>
            <w:vAlign w:val="center"/>
          </w:tcPr>
          <w:p w14:paraId="4A3049AC" w14:textId="6D1E171D" w:rsidR="005E3A87" w:rsidRPr="00AC3857" w:rsidRDefault="000A3530" w:rsidP="00181B0F">
            <w:pPr>
              <w:jc w:val="left"/>
              <w:rPr>
                <w:sz w:val="20"/>
                <w:lang w:val="de-CH" w:eastAsia="de-CH"/>
              </w:rPr>
            </w:pPr>
            <w:r>
              <w:rPr>
                <w:sz w:val="20"/>
                <w:lang w:val="de-CH" w:eastAsia="de-CH"/>
              </w:rPr>
              <w:t>220</w:t>
            </w:r>
          </w:p>
        </w:tc>
        <w:tc>
          <w:tcPr>
            <w:tcW w:w="850" w:type="dxa"/>
            <w:shd w:val="clear" w:color="auto" w:fill="auto"/>
            <w:vAlign w:val="center"/>
          </w:tcPr>
          <w:p w14:paraId="3FD2BFF4" w14:textId="64B68C46" w:rsidR="005E3A87" w:rsidRPr="00AC3857" w:rsidRDefault="005E3A87" w:rsidP="00181B0F">
            <w:pPr>
              <w:jc w:val="left"/>
              <w:rPr>
                <w:sz w:val="20"/>
                <w:lang w:val="de-CH" w:eastAsia="de-CH"/>
              </w:rPr>
            </w:pPr>
            <w:r w:rsidRPr="00AC3857">
              <w:rPr>
                <w:sz w:val="20"/>
                <w:lang w:val="de-CH" w:eastAsia="de-CH"/>
              </w:rPr>
              <w:t>670</w:t>
            </w:r>
          </w:p>
        </w:tc>
      </w:tr>
      <w:tr w:rsidR="005E3A87" w:rsidRPr="00C33696" w14:paraId="2A8433A7" w14:textId="77777777" w:rsidTr="00181B0F">
        <w:tc>
          <w:tcPr>
            <w:tcW w:w="2830" w:type="dxa"/>
            <w:shd w:val="clear" w:color="auto" w:fill="auto"/>
            <w:vAlign w:val="center"/>
          </w:tcPr>
          <w:p w14:paraId="068EB641" w14:textId="77777777" w:rsidR="005E3A87" w:rsidRPr="00AC3857" w:rsidRDefault="005E3A87" w:rsidP="00181B0F">
            <w:pPr>
              <w:jc w:val="left"/>
              <w:rPr>
                <w:i/>
                <w:sz w:val="20"/>
                <w:lang w:val="de-CH" w:eastAsia="de-CH"/>
              </w:rPr>
            </w:pPr>
            <w:proofErr w:type="spellStart"/>
            <w:r w:rsidRPr="00AC3857">
              <w:rPr>
                <w:i/>
                <w:sz w:val="20"/>
                <w:lang w:val="de-CH" w:eastAsia="de-CH"/>
              </w:rPr>
              <w:t>Chlorothalonil</w:t>
            </w:r>
            <w:proofErr w:type="spellEnd"/>
            <w:r w:rsidRPr="00AC3857">
              <w:rPr>
                <w:i/>
                <w:sz w:val="20"/>
                <w:lang w:val="de-CH" w:eastAsia="de-CH"/>
              </w:rPr>
              <w:t xml:space="preserve"> TP R417888</w:t>
            </w:r>
          </w:p>
        </w:tc>
        <w:tc>
          <w:tcPr>
            <w:tcW w:w="1276" w:type="dxa"/>
            <w:shd w:val="clear" w:color="auto" w:fill="auto"/>
            <w:vAlign w:val="center"/>
          </w:tcPr>
          <w:p w14:paraId="2BF29ED3" w14:textId="77777777" w:rsidR="005E3A87" w:rsidRPr="00AC3857" w:rsidRDefault="005E3A87" w:rsidP="00181B0F">
            <w:pPr>
              <w:jc w:val="left"/>
              <w:rPr>
                <w:sz w:val="20"/>
                <w:lang w:val="de-CH" w:eastAsia="de-CH"/>
              </w:rPr>
            </w:pPr>
            <w:proofErr w:type="spellStart"/>
            <w:r w:rsidRPr="00AC3857">
              <w:rPr>
                <w:sz w:val="20"/>
                <w:lang w:val="de-CH" w:eastAsia="de-CH"/>
              </w:rPr>
              <w:t>Pesticide</w:t>
            </w:r>
            <w:proofErr w:type="spellEnd"/>
            <w:r w:rsidRPr="00AC3857">
              <w:rPr>
                <w:sz w:val="20"/>
                <w:lang w:val="de-CH" w:eastAsia="de-CH"/>
              </w:rPr>
              <w:t xml:space="preserve"> TP</w:t>
            </w:r>
          </w:p>
        </w:tc>
        <w:tc>
          <w:tcPr>
            <w:tcW w:w="850" w:type="dxa"/>
            <w:vAlign w:val="center"/>
          </w:tcPr>
          <w:p w14:paraId="15C3DBDF" w14:textId="77777777" w:rsidR="005E3A87" w:rsidRPr="00AC3857" w:rsidRDefault="005E3A87" w:rsidP="00181B0F">
            <w:pPr>
              <w:jc w:val="left"/>
              <w:rPr>
                <w:sz w:val="20"/>
                <w:lang w:val="de-CH" w:eastAsia="de-CH"/>
              </w:rPr>
            </w:pPr>
            <w:r w:rsidRPr="00AC3857">
              <w:rPr>
                <w:sz w:val="20"/>
                <w:lang w:val="de-CH" w:eastAsia="de-CH"/>
              </w:rPr>
              <w:t>-0.7</w:t>
            </w:r>
          </w:p>
        </w:tc>
        <w:tc>
          <w:tcPr>
            <w:tcW w:w="850" w:type="dxa"/>
            <w:vAlign w:val="center"/>
          </w:tcPr>
          <w:p w14:paraId="6E6BC2D5" w14:textId="66CC0E76" w:rsidR="005E3A87" w:rsidRPr="00AC3857" w:rsidRDefault="005E3A87" w:rsidP="00181B0F">
            <w:pPr>
              <w:jc w:val="left"/>
              <w:rPr>
                <w:sz w:val="20"/>
                <w:lang w:val="de-CH" w:eastAsia="de-CH"/>
              </w:rPr>
            </w:pPr>
            <w:r w:rsidRPr="00AC3857">
              <w:rPr>
                <w:sz w:val="20"/>
                <w:lang w:val="de-CH" w:eastAsia="de-CH"/>
              </w:rPr>
              <w:t>1</w:t>
            </w:r>
          </w:p>
        </w:tc>
        <w:tc>
          <w:tcPr>
            <w:tcW w:w="850" w:type="dxa"/>
            <w:shd w:val="clear" w:color="auto" w:fill="auto"/>
            <w:vAlign w:val="center"/>
          </w:tcPr>
          <w:p w14:paraId="15D6BDF9" w14:textId="17AD4CE6" w:rsidR="005E3A87" w:rsidRPr="00AC3857" w:rsidRDefault="005E3A87" w:rsidP="00181B0F">
            <w:pPr>
              <w:jc w:val="left"/>
              <w:rPr>
                <w:sz w:val="20"/>
                <w:lang w:val="de-CH" w:eastAsia="de-CH"/>
              </w:rPr>
            </w:pPr>
            <w:r w:rsidRPr="00AC3857">
              <w:rPr>
                <w:sz w:val="20"/>
                <w:lang w:val="de-CH" w:eastAsia="de-CH"/>
              </w:rPr>
              <w:t>28</w:t>
            </w:r>
          </w:p>
        </w:tc>
        <w:tc>
          <w:tcPr>
            <w:tcW w:w="850" w:type="dxa"/>
            <w:vAlign w:val="center"/>
          </w:tcPr>
          <w:p w14:paraId="6A42C9A1" w14:textId="77777777" w:rsidR="005E3A87" w:rsidRPr="00AC3857" w:rsidRDefault="005E3A87" w:rsidP="00181B0F">
            <w:pPr>
              <w:jc w:val="left"/>
              <w:rPr>
                <w:sz w:val="20"/>
                <w:lang w:val="de-CH" w:eastAsia="de-CH"/>
              </w:rPr>
            </w:pPr>
            <w:r w:rsidRPr="00AC3857">
              <w:rPr>
                <w:sz w:val="20"/>
                <w:lang w:val="de-CH" w:eastAsia="de-CH"/>
              </w:rPr>
              <w:t>33</w:t>
            </w:r>
          </w:p>
        </w:tc>
        <w:tc>
          <w:tcPr>
            <w:tcW w:w="850" w:type="dxa"/>
            <w:vAlign w:val="center"/>
          </w:tcPr>
          <w:p w14:paraId="113F6C5C" w14:textId="38B8FCF1" w:rsidR="005E3A87" w:rsidRPr="00AC3857" w:rsidRDefault="00EB20E8" w:rsidP="00181B0F">
            <w:pPr>
              <w:jc w:val="left"/>
              <w:rPr>
                <w:sz w:val="20"/>
                <w:lang w:val="de-CH" w:eastAsia="de-CH"/>
              </w:rPr>
            </w:pPr>
            <w:r>
              <w:rPr>
                <w:sz w:val="20"/>
                <w:lang w:val="de-CH" w:eastAsia="de-CH"/>
              </w:rPr>
              <w:t>470</w:t>
            </w:r>
          </w:p>
        </w:tc>
        <w:tc>
          <w:tcPr>
            <w:tcW w:w="850" w:type="dxa"/>
            <w:shd w:val="clear" w:color="auto" w:fill="auto"/>
            <w:vAlign w:val="center"/>
          </w:tcPr>
          <w:p w14:paraId="1F3E0CF7" w14:textId="39872912" w:rsidR="005E3A87" w:rsidRPr="00AC3857" w:rsidRDefault="005E3A87" w:rsidP="00181B0F">
            <w:pPr>
              <w:jc w:val="left"/>
              <w:rPr>
                <w:sz w:val="20"/>
                <w:lang w:val="de-CH" w:eastAsia="de-CH"/>
              </w:rPr>
            </w:pPr>
            <w:r w:rsidRPr="00AC3857">
              <w:rPr>
                <w:sz w:val="20"/>
                <w:lang w:val="de-CH" w:eastAsia="de-CH"/>
              </w:rPr>
              <w:t>1300</w:t>
            </w:r>
          </w:p>
        </w:tc>
      </w:tr>
      <w:tr w:rsidR="005E3A87" w:rsidRPr="00C33696" w14:paraId="1E60AD8A" w14:textId="77777777" w:rsidTr="00181B0F">
        <w:tc>
          <w:tcPr>
            <w:tcW w:w="2830" w:type="dxa"/>
            <w:shd w:val="clear" w:color="auto" w:fill="auto"/>
            <w:vAlign w:val="center"/>
          </w:tcPr>
          <w:p w14:paraId="5256AC6F" w14:textId="7F1D22F0" w:rsidR="005E3A87" w:rsidRPr="002F232F" w:rsidRDefault="005E3A87" w:rsidP="00181B0F">
            <w:pPr>
              <w:jc w:val="left"/>
              <w:rPr>
                <w:i/>
                <w:sz w:val="20"/>
                <w:lang w:val="en-US" w:eastAsia="de-CH"/>
              </w:rPr>
            </w:pPr>
            <w:proofErr w:type="spellStart"/>
            <w:r w:rsidRPr="002F232F">
              <w:rPr>
                <w:i/>
                <w:sz w:val="20"/>
                <w:lang w:val="en-US" w:eastAsia="de-CH"/>
              </w:rPr>
              <w:t>Chlorothalonil</w:t>
            </w:r>
            <w:proofErr w:type="spellEnd"/>
            <w:r w:rsidRPr="002F232F">
              <w:rPr>
                <w:i/>
                <w:sz w:val="20"/>
                <w:lang w:val="en-US" w:eastAsia="de-CH"/>
              </w:rPr>
              <w:t xml:space="preserve"> TP Isomer of R417888</w:t>
            </w:r>
            <w:r>
              <w:rPr>
                <w:i/>
                <w:sz w:val="20"/>
                <w:lang w:val="en-US" w:eastAsia="de-CH"/>
              </w:rPr>
              <w:t xml:space="preserve">, </w:t>
            </w:r>
            <w:r w:rsidRPr="003B6E15">
              <w:rPr>
                <w:b/>
                <w:i/>
                <w:sz w:val="20"/>
                <w:lang w:val="en-US" w:eastAsia="de-CH"/>
              </w:rPr>
              <w:t>Level 3</w:t>
            </w:r>
          </w:p>
        </w:tc>
        <w:tc>
          <w:tcPr>
            <w:tcW w:w="1276" w:type="dxa"/>
            <w:shd w:val="clear" w:color="auto" w:fill="auto"/>
            <w:vAlign w:val="center"/>
          </w:tcPr>
          <w:p w14:paraId="6221FC95" w14:textId="5E31A985" w:rsidR="005E3A87" w:rsidRPr="002F232F" w:rsidRDefault="005E3A87" w:rsidP="00181B0F">
            <w:pPr>
              <w:jc w:val="left"/>
              <w:rPr>
                <w:sz w:val="20"/>
                <w:lang w:val="en-US" w:eastAsia="de-CH"/>
              </w:rPr>
            </w:pPr>
            <w:proofErr w:type="spellStart"/>
            <w:r w:rsidRPr="00AC3857">
              <w:rPr>
                <w:sz w:val="20"/>
                <w:lang w:val="de-CH" w:eastAsia="de-CH"/>
              </w:rPr>
              <w:t>Pesticide</w:t>
            </w:r>
            <w:proofErr w:type="spellEnd"/>
            <w:r w:rsidRPr="00AC3857">
              <w:rPr>
                <w:sz w:val="20"/>
                <w:lang w:val="de-CH" w:eastAsia="de-CH"/>
              </w:rPr>
              <w:t xml:space="preserve"> TP</w:t>
            </w:r>
          </w:p>
        </w:tc>
        <w:tc>
          <w:tcPr>
            <w:tcW w:w="850" w:type="dxa"/>
            <w:vAlign w:val="center"/>
          </w:tcPr>
          <w:p w14:paraId="4CE3CD4D" w14:textId="7DC92C76" w:rsidR="005E3A87" w:rsidRPr="002F232F" w:rsidRDefault="005E3A87" w:rsidP="00181B0F">
            <w:pPr>
              <w:jc w:val="left"/>
              <w:rPr>
                <w:sz w:val="20"/>
                <w:lang w:val="en-US" w:eastAsia="de-CH"/>
              </w:rPr>
            </w:pPr>
            <w:r w:rsidRPr="00AC3857">
              <w:rPr>
                <w:sz w:val="20"/>
                <w:lang w:val="de-CH" w:eastAsia="de-CH"/>
              </w:rPr>
              <w:t>-0.7</w:t>
            </w:r>
          </w:p>
        </w:tc>
        <w:tc>
          <w:tcPr>
            <w:tcW w:w="850" w:type="dxa"/>
            <w:vAlign w:val="center"/>
          </w:tcPr>
          <w:p w14:paraId="5A47CF66" w14:textId="1A4D695A" w:rsidR="005E3A87" w:rsidRPr="002F232F" w:rsidRDefault="005E3A87" w:rsidP="00181B0F">
            <w:pPr>
              <w:jc w:val="left"/>
              <w:rPr>
                <w:sz w:val="20"/>
                <w:lang w:val="en-US" w:eastAsia="de-CH"/>
              </w:rPr>
            </w:pPr>
            <w:r>
              <w:rPr>
                <w:sz w:val="20"/>
                <w:lang w:val="en-US" w:eastAsia="de-CH"/>
              </w:rPr>
              <w:t>no standard</w:t>
            </w:r>
          </w:p>
        </w:tc>
        <w:tc>
          <w:tcPr>
            <w:tcW w:w="850" w:type="dxa"/>
            <w:shd w:val="clear" w:color="auto" w:fill="auto"/>
            <w:vAlign w:val="center"/>
          </w:tcPr>
          <w:p w14:paraId="0FEC6063" w14:textId="1D629CF3" w:rsidR="005E3A87" w:rsidRPr="002F232F" w:rsidRDefault="005E3A87" w:rsidP="00181B0F">
            <w:pPr>
              <w:jc w:val="left"/>
              <w:rPr>
                <w:sz w:val="20"/>
                <w:lang w:val="en-US" w:eastAsia="de-CH"/>
              </w:rPr>
            </w:pPr>
            <w:r>
              <w:rPr>
                <w:sz w:val="20"/>
                <w:lang w:val="en-US" w:eastAsia="de-CH"/>
              </w:rPr>
              <w:t>19</w:t>
            </w:r>
          </w:p>
        </w:tc>
        <w:tc>
          <w:tcPr>
            <w:tcW w:w="850" w:type="dxa"/>
            <w:vAlign w:val="center"/>
          </w:tcPr>
          <w:p w14:paraId="7A3A71C1" w14:textId="4314C059" w:rsidR="005E3A87" w:rsidRPr="002F232F" w:rsidRDefault="005E3A87" w:rsidP="00181B0F">
            <w:pPr>
              <w:jc w:val="left"/>
              <w:rPr>
                <w:sz w:val="20"/>
                <w:lang w:val="en-US" w:eastAsia="de-CH"/>
              </w:rPr>
            </w:pPr>
            <w:r>
              <w:rPr>
                <w:sz w:val="20"/>
                <w:lang w:val="en-US" w:eastAsia="de-CH"/>
              </w:rPr>
              <w:t>~21</w:t>
            </w:r>
          </w:p>
        </w:tc>
        <w:tc>
          <w:tcPr>
            <w:tcW w:w="850" w:type="dxa"/>
            <w:vAlign w:val="center"/>
          </w:tcPr>
          <w:p w14:paraId="574A785C" w14:textId="02DAEF6D" w:rsidR="005E3A87" w:rsidRDefault="00EB20E8" w:rsidP="00181B0F">
            <w:pPr>
              <w:jc w:val="left"/>
              <w:rPr>
                <w:sz w:val="20"/>
                <w:lang w:val="en-US" w:eastAsia="de-CH"/>
              </w:rPr>
            </w:pPr>
            <w:r>
              <w:rPr>
                <w:sz w:val="20"/>
                <w:lang w:val="en-US" w:eastAsia="de-CH"/>
              </w:rPr>
              <w:t>~39</w:t>
            </w:r>
          </w:p>
        </w:tc>
        <w:tc>
          <w:tcPr>
            <w:tcW w:w="850" w:type="dxa"/>
            <w:shd w:val="clear" w:color="auto" w:fill="auto"/>
            <w:vAlign w:val="center"/>
          </w:tcPr>
          <w:p w14:paraId="2F2AF75E" w14:textId="492CD093" w:rsidR="005E3A87" w:rsidRPr="002F232F" w:rsidRDefault="005E3A87" w:rsidP="00181B0F">
            <w:pPr>
              <w:jc w:val="left"/>
              <w:rPr>
                <w:sz w:val="20"/>
                <w:lang w:val="en-US" w:eastAsia="de-CH"/>
              </w:rPr>
            </w:pPr>
            <w:r>
              <w:rPr>
                <w:sz w:val="20"/>
                <w:lang w:val="en-US" w:eastAsia="de-CH"/>
              </w:rPr>
              <w:t>~120</w:t>
            </w:r>
          </w:p>
        </w:tc>
      </w:tr>
      <w:tr w:rsidR="005E3A87" w:rsidRPr="00C33696" w14:paraId="25B69776" w14:textId="77777777" w:rsidTr="00181B0F">
        <w:tc>
          <w:tcPr>
            <w:tcW w:w="2830" w:type="dxa"/>
            <w:shd w:val="clear" w:color="auto" w:fill="auto"/>
            <w:vAlign w:val="center"/>
          </w:tcPr>
          <w:p w14:paraId="2CBE51EE" w14:textId="77777777" w:rsidR="005E3A87" w:rsidRPr="00AC3857" w:rsidRDefault="005E3A87" w:rsidP="00181B0F">
            <w:pPr>
              <w:jc w:val="left"/>
              <w:rPr>
                <w:i/>
                <w:sz w:val="20"/>
                <w:lang w:val="de-CH" w:eastAsia="de-CH"/>
              </w:rPr>
            </w:pPr>
            <w:proofErr w:type="spellStart"/>
            <w:r w:rsidRPr="00AC3857">
              <w:rPr>
                <w:i/>
                <w:sz w:val="20"/>
                <w:lang w:val="de-CH" w:eastAsia="de-CH"/>
              </w:rPr>
              <w:t>Chlorothalonil</w:t>
            </w:r>
            <w:proofErr w:type="spellEnd"/>
            <w:r w:rsidRPr="00AC3857">
              <w:rPr>
                <w:i/>
                <w:sz w:val="20"/>
                <w:lang w:val="de-CH" w:eastAsia="de-CH"/>
              </w:rPr>
              <w:t xml:space="preserve"> TP R471811</w:t>
            </w:r>
          </w:p>
        </w:tc>
        <w:tc>
          <w:tcPr>
            <w:tcW w:w="1276" w:type="dxa"/>
            <w:shd w:val="clear" w:color="auto" w:fill="auto"/>
            <w:vAlign w:val="center"/>
          </w:tcPr>
          <w:p w14:paraId="1C59DD26" w14:textId="77777777" w:rsidR="005E3A87" w:rsidRPr="00AC3857" w:rsidRDefault="005E3A87" w:rsidP="00181B0F">
            <w:pPr>
              <w:jc w:val="left"/>
              <w:rPr>
                <w:sz w:val="20"/>
                <w:lang w:val="de-CH" w:eastAsia="de-CH"/>
              </w:rPr>
            </w:pPr>
            <w:proofErr w:type="spellStart"/>
            <w:r w:rsidRPr="00AC3857">
              <w:rPr>
                <w:sz w:val="20"/>
                <w:lang w:val="de-CH" w:eastAsia="de-CH"/>
              </w:rPr>
              <w:t>Pesticide</w:t>
            </w:r>
            <w:proofErr w:type="spellEnd"/>
            <w:r w:rsidRPr="00AC3857">
              <w:rPr>
                <w:sz w:val="20"/>
                <w:lang w:val="de-CH" w:eastAsia="de-CH"/>
              </w:rPr>
              <w:t xml:space="preserve"> TP</w:t>
            </w:r>
          </w:p>
        </w:tc>
        <w:tc>
          <w:tcPr>
            <w:tcW w:w="850" w:type="dxa"/>
            <w:vAlign w:val="center"/>
          </w:tcPr>
          <w:p w14:paraId="3E85AB6F" w14:textId="77777777" w:rsidR="005E3A87" w:rsidRPr="00AC3857" w:rsidRDefault="005E3A87" w:rsidP="00181B0F">
            <w:pPr>
              <w:jc w:val="left"/>
              <w:rPr>
                <w:sz w:val="20"/>
                <w:lang w:val="de-CH" w:eastAsia="de-CH"/>
              </w:rPr>
            </w:pPr>
            <w:r w:rsidRPr="00AC3857">
              <w:rPr>
                <w:sz w:val="20"/>
                <w:lang w:val="de-CH" w:eastAsia="de-CH"/>
              </w:rPr>
              <w:t>-1.7</w:t>
            </w:r>
          </w:p>
        </w:tc>
        <w:tc>
          <w:tcPr>
            <w:tcW w:w="850" w:type="dxa"/>
            <w:vAlign w:val="center"/>
          </w:tcPr>
          <w:p w14:paraId="21F5906E" w14:textId="3D53A646" w:rsidR="005E3A87" w:rsidRPr="00AC3857" w:rsidRDefault="005E3A87" w:rsidP="00181B0F">
            <w:pPr>
              <w:jc w:val="left"/>
              <w:rPr>
                <w:sz w:val="20"/>
                <w:lang w:val="de-CH" w:eastAsia="de-CH"/>
              </w:rPr>
            </w:pPr>
            <w:r w:rsidRPr="00AC3857">
              <w:rPr>
                <w:sz w:val="20"/>
                <w:lang w:val="de-CH" w:eastAsia="de-CH"/>
              </w:rPr>
              <w:t>3</w:t>
            </w:r>
          </w:p>
        </w:tc>
        <w:tc>
          <w:tcPr>
            <w:tcW w:w="850" w:type="dxa"/>
            <w:shd w:val="clear" w:color="auto" w:fill="auto"/>
            <w:vAlign w:val="center"/>
          </w:tcPr>
          <w:p w14:paraId="290E96BF" w14:textId="371E56D2" w:rsidR="005E3A87" w:rsidRPr="00AC3857" w:rsidRDefault="005E3A87" w:rsidP="00181B0F">
            <w:pPr>
              <w:jc w:val="left"/>
              <w:rPr>
                <w:sz w:val="20"/>
                <w:lang w:val="de-CH" w:eastAsia="de-CH"/>
              </w:rPr>
            </w:pPr>
            <w:r w:rsidRPr="00AC3857">
              <w:rPr>
                <w:sz w:val="20"/>
                <w:lang w:val="de-CH" w:eastAsia="de-CH"/>
              </w:rPr>
              <w:t>31</w:t>
            </w:r>
          </w:p>
        </w:tc>
        <w:tc>
          <w:tcPr>
            <w:tcW w:w="850" w:type="dxa"/>
            <w:vAlign w:val="center"/>
          </w:tcPr>
          <w:p w14:paraId="2FB9D390" w14:textId="77777777" w:rsidR="005E3A87" w:rsidRPr="00AC3857" w:rsidRDefault="005E3A87" w:rsidP="00181B0F">
            <w:pPr>
              <w:jc w:val="left"/>
              <w:rPr>
                <w:sz w:val="20"/>
                <w:lang w:val="de-CH" w:eastAsia="de-CH"/>
              </w:rPr>
            </w:pPr>
            <w:r w:rsidRPr="00AC3857">
              <w:rPr>
                <w:sz w:val="20"/>
                <w:lang w:val="de-CH" w:eastAsia="de-CH"/>
              </w:rPr>
              <w:t>300</w:t>
            </w:r>
          </w:p>
        </w:tc>
        <w:tc>
          <w:tcPr>
            <w:tcW w:w="850" w:type="dxa"/>
            <w:vAlign w:val="center"/>
          </w:tcPr>
          <w:p w14:paraId="7445882A" w14:textId="6CDFC0F1" w:rsidR="005E3A87" w:rsidRPr="00AC3857" w:rsidRDefault="00EB20E8" w:rsidP="00181B0F">
            <w:pPr>
              <w:jc w:val="left"/>
              <w:rPr>
                <w:sz w:val="20"/>
                <w:lang w:val="de-CH" w:eastAsia="de-CH"/>
              </w:rPr>
            </w:pPr>
            <w:r>
              <w:rPr>
                <w:sz w:val="20"/>
                <w:lang w:val="de-CH" w:eastAsia="de-CH"/>
              </w:rPr>
              <w:t>1100</w:t>
            </w:r>
          </w:p>
        </w:tc>
        <w:tc>
          <w:tcPr>
            <w:tcW w:w="850" w:type="dxa"/>
            <w:shd w:val="clear" w:color="auto" w:fill="auto"/>
            <w:vAlign w:val="center"/>
          </w:tcPr>
          <w:p w14:paraId="06F5FB4E" w14:textId="5EF83CE8" w:rsidR="005E3A87" w:rsidRPr="00AC3857" w:rsidRDefault="005E3A87" w:rsidP="00181B0F">
            <w:pPr>
              <w:jc w:val="left"/>
              <w:rPr>
                <w:sz w:val="20"/>
                <w:lang w:val="de-CH" w:eastAsia="de-CH"/>
              </w:rPr>
            </w:pPr>
            <w:r w:rsidRPr="00AC3857">
              <w:rPr>
                <w:sz w:val="20"/>
                <w:lang w:val="de-CH" w:eastAsia="de-CH"/>
              </w:rPr>
              <w:t>2700</w:t>
            </w:r>
          </w:p>
        </w:tc>
      </w:tr>
      <w:tr w:rsidR="005E3A87" w:rsidRPr="00C33696" w14:paraId="2F0449C7" w14:textId="77777777" w:rsidTr="00181B0F">
        <w:tc>
          <w:tcPr>
            <w:tcW w:w="2830" w:type="dxa"/>
            <w:shd w:val="clear" w:color="auto" w:fill="auto"/>
            <w:vAlign w:val="center"/>
          </w:tcPr>
          <w:p w14:paraId="68DD3F37" w14:textId="77777777" w:rsidR="005E3A87" w:rsidRPr="00AC3857" w:rsidRDefault="005E3A87" w:rsidP="00181B0F">
            <w:pPr>
              <w:jc w:val="left"/>
              <w:rPr>
                <w:i/>
                <w:sz w:val="20"/>
                <w:lang w:val="de-CH" w:eastAsia="de-CH"/>
              </w:rPr>
            </w:pPr>
            <w:proofErr w:type="spellStart"/>
            <w:r w:rsidRPr="00AC3857">
              <w:rPr>
                <w:i/>
                <w:sz w:val="20"/>
                <w:lang w:val="de-CH" w:eastAsia="de-CH"/>
              </w:rPr>
              <w:t>Chlorothalonil</w:t>
            </w:r>
            <w:proofErr w:type="spellEnd"/>
            <w:r w:rsidRPr="00AC3857">
              <w:rPr>
                <w:i/>
                <w:sz w:val="20"/>
                <w:lang w:val="de-CH" w:eastAsia="de-CH"/>
              </w:rPr>
              <w:t xml:space="preserve"> TP SYN507900</w:t>
            </w:r>
          </w:p>
        </w:tc>
        <w:tc>
          <w:tcPr>
            <w:tcW w:w="1276" w:type="dxa"/>
            <w:shd w:val="clear" w:color="auto" w:fill="auto"/>
            <w:vAlign w:val="center"/>
          </w:tcPr>
          <w:p w14:paraId="0ACF0769" w14:textId="77777777" w:rsidR="005E3A87" w:rsidRPr="00AC3857" w:rsidRDefault="005E3A87" w:rsidP="00181B0F">
            <w:pPr>
              <w:jc w:val="left"/>
              <w:rPr>
                <w:sz w:val="20"/>
                <w:lang w:val="de-CH" w:eastAsia="de-CH"/>
              </w:rPr>
            </w:pPr>
            <w:proofErr w:type="spellStart"/>
            <w:r w:rsidRPr="00AC3857">
              <w:rPr>
                <w:sz w:val="20"/>
                <w:lang w:val="de-CH" w:eastAsia="de-CH"/>
              </w:rPr>
              <w:t>Pesticide</w:t>
            </w:r>
            <w:proofErr w:type="spellEnd"/>
            <w:r w:rsidRPr="00AC3857">
              <w:rPr>
                <w:sz w:val="20"/>
                <w:lang w:val="de-CH" w:eastAsia="de-CH"/>
              </w:rPr>
              <w:t xml:space="preserve"> TP</w:t>
            </w:r>
          </w:p>
        </w:tc>
        <w:tc>
          <w:tcPr>
            <w:tcW w:w="850" w:type="dxa"/>
            <w:vAlign w:val="center"/>
          </w:tcPr>
          <w:p w14:paraId="435C063C" w14:textId="77777777" w:rsidR="005E3A87" w:rsidRPr="00AC3857" w:rsidRDefault="005E3A87" w:rsidP="00181B0F">
            <w:pPr>
              <w:jc w:val="left"/>
              <w:rPr>
                <w:sz w:val="20"/>
                <w:lang w:val="de-CH" w:eastAsia="de-CH"/>
              </w:rPr>
            </w:pPr>
            <w:r w:rsidRPr="00AC3857">
              <w:rPr>
                <w:sz w:val="20"/>
                <w:lang w:val="de-CH" w:eastAsia="de-CH"/>
              </w:rPr>
              <w:t>0.4</w:t>
            </w:r>
          </w:p>
        </w:tc>
        <w:tc>
          <w:tcPr>
            <w:tcW w:w="850" w:type="dxa"/>
            <w:vAlign w:val="center"/>
          </w:tcPr>
          <w:p w14:paraId="31C3BB59" w14:textId="7517619D" w:rsidR="005E3A87" w:rsidRPr="00AC3857" w:rsidRDefault="005E3A87" w:rsidP="00181B0F">
            <w:pPr>
              <w:jc w:val="left"/>
              <w:rPr>
                <w:sz w:val="20"/>
                <w:lang w:val="de-CH" w:eastAsia="de-CH"/>
              </w:rPr>
            </w:pPr>
            <w:r w:rsidRPr="00AC3857">
              <w:rPr>
                <w:sz w:val="20"/>
                <w:lang w:val="de-CH" w:eastAsia="de-CH"/>
              </w:rPr>
              <w:t>1.3</w:t>
            </w:r>
          </w:p>
        </w:tc>
        <w:tc>
          <w:tcPr>
            <w:tcW w:w="850" w:type="dxa"/>
            <w:shd w:val="clear" w:color="auto" w:fill="auto"/>
            <w:vAlign w:val="center"/>
          </w:tcPr>
          <w:p w14:paraId="3C680363" w14:textId="64B29324" w:rsidR="005E3A87" w:rsidRPr="00AC3857" w:rsidRDefault="005E3A87" w:rsidP="00181B0F">
            <w:pPr>
              <w:jc w:val="left"/>
              <w:rPr>
                <w:sz w:val="20"/>
                <w:lang w:val="de-CH" w:eastAsia="de-CH"/>
              </w:rPr>
            </w:pPr>
            <w:r w:rsidRPr="00AC3857">
              <w:rPr>
                <w:sz w:val="20"/>
                <w:lang w:val="de-CH" w:eastAsia="de-CH"/>
              </w:rPr>
              <w:t>13</w:t>
            </w:r>
          </w:p>
        </w:tc>
        <w:tc>
          <w:tcPr>
            <w:tcW w:w="850" w:type="dxa"/>
            <w:vAlign w:val="center"/>
          </w:tcPr>
          <w:p w14:paraId="7D56D3C3" w14:textId="77777777" w:rsidR="005E3A87" w:rsidRPr="00AC3857" w:rsidRDefault="005E3A87" w:rsidP="00181B0F">
            <w:pPr>
              <w:jc w:val="left"/>
              <w:rPr>
                <w:sz w:val="20"/>
                <w:lang w:val="de-CH" w:eastAsia="de-CH"/>
              </w:rPr>
            </w:pPr>
            <w:r w:rsidRPr="00AC3857">
              <w:rPr>
                <w:sz w:val="20"/>
                <w:lang w:val="de-CH" w:eastAsia="de-CH"/>
              </w:rPr>
              <w:t>&lt;1.3</w:t>
            </w:r>
          </w:p>
        </w:tc>
        <w:tc>
          <w:tcPr>
            <w:tcW w:w="850" w:type="dxa"/>
            <w:vAlign w:val="center"/>
          </w:tcPr>
          <w:p w14:paraId="641AA071" w14:textId="66382648" w:rsidR="005E3A87" w:rsidRPr="00AC3857" w:rsidRDefault="00EB20E8" w:rsidP="00181B0F">
            <w:pPr>
              <w:jc w:val="left"/>
              <w:rPr>
                <w:sz w:val="20"/>
                <w:lang w:val="de-CH" w:eastAsia="de-CH"/>
              </w:rPr>
            </w:pPr>
            <w:r>
              <w:rPr>
                <w:sz w:val="20"/>
                <w:lang w:val="de-CH" w:eastAsia="de-CH"/>
              </w:rPr>
              <w:t>33</w:t>
            </w:r>
          </w:p>
        </w:tc>
        <w:tc>
          <w:tcPr>
            <w:tcW w:w="850" w:type="dxa"/>
            <w:shd w:val="clear" w:color="auto" w:fill="auto"/>
            <w:vAlign w:val="center"/>
          </w:tcPr>
          <w:p w14:paraId="0706E823" w14:textId="2A85A513" w:rsidR="005E3A87" w:rsidRPr="00AC3857" w:rsidRDefault="005E3A87" w:rsidP="00181B0F">
            <w:pPr>
              <w:jc w:val="left"/>
              <w:rPr>
                <w:sz w:val="20"/>
                <w:lang w:val="de-CH" w:eastAsia="de-CH"/>
              </w:rPr>
            </w:pPr>
            <w:r w:rsidRPr="00AC3857">
              <w:rPr>
                <w:sz w:val="20"/>
                <w:lang w:val="de-CH" w:eastAsia="de-CH"/>
              </w:rPr>
              <w:t>150</w:t>
            </w:r>
          </w:p>
        </w:tc>
      </w:tr>
      <w:tr w:rsidR="005E3A87" w:rsidRPr="00C33696" w14:paraId="5FC0FC52" w14:textId="77777777" w:rsidTr="00181B0F">
        <w:tc>
          <w:tcPr>
            <w:tcW w:w="2830" w:type="dxa"/>
            <w:shd w:val="clear" w:color="auto" w:fill="auto"/>
            <w:vAlign w:val="center"/>
          </w:tcPr>
          <w:p w14:paraId="528F2092" w14:textId="77777777" w:rsidR="005E3A87" w:rsidRPr="00AC3857" w:rsidRDefault="005E3A87" w:rsidP="00181B0F">
            <w:pPr>
              <w:jc w:val="left"/>
              <w:rPr>
                <w:sz w:val="20"/>
                <w:lang w:val="de-CH" w:eastAsia="de-CH"/>
              </w:rPr>
            </w:pPr>
            <w:proofErr w:type="spellStart"/>
            <w:r w:rsidRPr="00AC3857">
              <w:rPr>
                <w:sz w:val="20"/>
                <w:lang w:val="de-CH" w:eastAsia="de-CH"/>
              </w:rPr>
              <w:t>Dimethachlor</w:t>
            </w:r>
            <w:proofErr w:type="spellEnd"/>
            <w:r w:rsidRPr="00AC3857">
              <w:rPr>
                <w:sz w:val="20"/>
                <w:lang w:val="de-CH" w:eastAsia="de-CH"/>
              </w:rPr>
              <w:t>-ESA</w:t>
            </w:r>
          </w:p>
        </w:tc>
        <w:tc>
          <w:tcPr>
            <w:tcW w:w="1276" w:type="dxa"/>
            <w:shd w:val="clear" w:color="auto" w:fill="auto"/>
            <w:vAlign w:val="center"/>
          </w:tcPr>
          <w:p w14:paraId="57E1739A" w14:textId="77777777" w:rsidR="005E3A87" w:rsidRPr="00AC3857" w:rsidRDefault="005E3A87" w:rsidP="00181B0F">
            <w:pPr>
              <w:jc w:val="left"/>
              <w:rPr>
                <w:sz w:val="20"/>
                <w:lang w:val="de-CH" w:eastAsia="de-CH"/>
              </w:rPr>
            </w:pPr>
            <w:proofErr w:type="spellStart"/>
            <w:r w:rsidRPr="00AC3857">
              <w:rPr>
                <w:sz w:val="20"/>
                <w:lang w:val="de-CH" w:eastAsia="de-CH"/>
              </w:rPr>
              <w:t>Pesticide</w:t>
            </w:r>
            <w:proofErr w:type="spellEnd"/>
            <w:r w:rsidRPr="00AC3857">
              <w:rPr>
                <w:sz w:val="20"/>
                <w:lang w:val="de-CH" w:eastAsia="de-CH"/>
              </w:rPr>
              <w:t xml:space="preserve"> TP</w:t>
            </w:r>
          </w:p>
        </w:tc>
        <w:tc>
          <w:tcPr>
            <w:tcW w:w="850" w:type="dxa"/>
            <w:vAlign w:val="center"/>
          </w:tcPr>
          <w:p w14:paraId="7F1CD0BB" w14:textId="77777777" w:rsidR="005E3A87" w:rsidRPr="00AC3857" w:rsidRDefault="005E3A87" w:rsidP="00181B0F">
            <w:pPr>
              <w:jc w:val="left"/>
              <w:rPr>
                <w:sz w:val="20"/>
                <w:lang w:val="de-CH" w:eastAsia="de-CH"/>
              </w:rPr>
            </w:pPr>
            <w:r w:rsidRPr="00AC3857">
              <w:rPr>
                <w:sz w:val="20"/>
                <w:lang w:val="de-CH" w:eastAsia="de-CH"/>
              </w:rPr>
              <w:t>-1.1</w:t>
            </w:r>
          </w:p>
        </w:tc>
        <w:tc>
          <w:tcPr>
            <w:tcW w:w="850" w:type="dxa"/>
            <w:vAlign w:val="center"/>
          </w:tcPr>
          <w:p w14:paraId="6DEF9E1D" w14:textId="0E4EE292" w:rsidR="005E3A87" w:rsidRPr="00AC3857" w:rsidRDefault="005E3A87" w:rsidP="00181B0F">
            <w:pPr>
              <w:jc w:val="left"/>
              <w:rPr>
                <w:sz w:val="20"/>
                <w:lang w:val="de-CH" w:eastAsia="de-CH"/>
              </w:rPr>
            </w:pPr>
            <w:r w:rsidRPr="00AC3857">
              <w:rPr>
                <w:sz w:val="20"/>
                <w:lang w:val="de-CH" w:eastAsia="de-CH"/>
              </w:rPr>
              <w:t>5</w:t>
            </w:r>
          </w:p>
        </w:tc>
        <w:tc>
          <w:tcPr>
            <w:tcW w:w="850" w:type="dxa"/>
            <w:shd w:val="clear" w:color="auto" w:fill="auto"/>
            <w:vAlign w:val="center"/>
          </w:tcPr>
          <w:p w14:paraId="0F808475" w14:textId="3CF7150E" w:rsidR="005E3A87" w:rsidRPr="00AC3857" w:rsidRDefault="005E3A87" w:rsidP="00181B0F">
            <w:pPr>
              <w:jc w:val="left"/>
              <w:rPr>
                <w:sz w:val="20"/>
                <w:lang w:val="de-CH" w:eastAsia="de-CH"/>
              </w:rPr>
            </w:pPr>
            <w:r w:rsidRPr="00AC3857">
              <w:rPr>
                <w:sz w:val="20"/>
                <w:lang w:val="de-CH" w:eastAsia="de-CH"/>
              </w:rPr>
              <w:t>9</w:t>
            </w:r>
          </w:p>
        </w:tc>
        <w:tc>
          <w:tcPr>
            <w:tcW w:w="850" w:type="dxa"/>
            <w:vAlign w:val="center"/>
          </w:tcPr>
          <w:p w14:paraId="50662CFB" w14:textId="77777777" w:rsidR="005E3A87" w:rsidRPr="00AC3857" w:rsidRDefault="005E3A87" w:rsidP="00181B0F">
            <w:pPr>
              <w:jc w:val="left"/>
              <w:rPr>
                <w:sz w:val="20"/>
                <w:lang w:val="de-CH" w:eastAsia="de-CH"/>
              </w:rPr>
            </w:pPr>
            <w:r w:rsidRPr="00AC3857">
              <w:rPr>
                <w:sz w:val="20"/>
                <w:lang w:val="de-CH" w:eastAsia="de-CH"/>
              </w:rPr>
              <w:t>&lt;5</w:t>
            </w:r>
          </w:p>
        </w:tc>
        <w:tc>
          <w:tcPr>
            <w:tcW w:w="850" w:type="dxa"/>
            <w:vAlign w:val="center"/>
          </w:tcPr>
          <w:p w14:paraId="064A2FDE" w14:textId="77777777" w:rsidR="005E3A87" w:rsidRPr="00AC3857" w:rsidRDefault="005E3A87" w:rsidP="00181B0F">
            <w:pPr>
              <w:jc w:val="left"/>
              <w:rPr>
                <w:sz w:val="20"/>
                <w:lang w:val="de-CH" w:eastAsia="de-CH"/>
              </w:rPr>
            </w:pPr>
          </w:p>
        </w:tc>
        <w:tc>
          <w:tcPr>
            <w:tcW w:w="850" w:type="dxa"/>
            <w:shd w:val="clear" w:color="auto" w:fill="auto"/>
            <w:vAlign w:val="center"/>
          </w:tcPr>
          <w:p w14:paraId="7AD88706" w14:textId="6C8A0762" w:rsidR="005E3A87" w:rsidRPr="00AC3857" w:rsidRDefault="005E3A87" w:rsidP="00181B0F">
            <w:pPr>
              <w:jc w:val="left"/>
              <w:rPr>
                <w:sz w:val="20"/>
                <w:lang w:val="de-CH" w:eastAsia="de-CH"/>
              </w:rPr>
            </w:pPr>
            <w:r w:rsidRPr="00AC3857">
              <w:rPr>
                <w:sz w:val="20"/>
                <w:lang w:val="de-CH" w:eastAsia="de-CH"/>
              </w:rPr>
              <w:t>120</w:t>
            </w:r>
          </w:p>
        </w:tc>
      </w:tr>
      <w:tr w:rsidR="005E3A87" w:rsidRPr="00C33696" w14:paraId="6DCCCFC1" w14:textId="77777777" w:rsidTr="00181B0F">
        <w:tc>
          <w:tcPr>
            <w:tcW w:w="2830" w:type="dxa"/>
            <w:shd w:val="clear" w:color="auto" w:fill="auto"/>
            <w:vAlign w:val="center"/>
          </w:tcPr>
          <w:p w14:paraId="255D2CDD" w14:textId="0E23DCC5" w:rsidR="005E3A87" w:rsidRDefault="005E3A87" w:rsidP="00181B0F">
            <w:pPr>
              <w:jc w:val="left"/>
              <w:rPr>
                <w:i/>
                <w:sz w:val="20"/>
                <w:lang w:val="de-CH" w:eastAsia="de-CH"/>
              </w:rPr>
            </w:pPr>
            <w:proofErr w:type="spellStart"/>
            <w:r w:rsidRPr="002F232F">
              <w:rPr>
                <w:i/>
                <w:sz w:val="20"/>
                <w:lang w:val="de-CH" w:eastAsia="de-CH"/>
              </w:rPr>
              <w:t>Fipronil</w:t>
            </w:r>
            <w:proofErr w:type="spellEnd"/>
            <w:r w:rsidRPr="002F232F">
              <w:rPr>
                <w:i/>
                <w:sz w:val="20"/>
                <w:lang w:val="de-CH" w:eastAsia="de-CH"/>
              </w:rPr>
              <w:t>-TP RPA 106681</w:t>
            </w:r>
            <w:r>
              <w:rPr>
                <w:i/>
                <w:sz w:val="20"/>
                <w:lang w:val="de-CH" w:eastAsia="de-CH"/>
              </w:rPr>
              <w:t>,</w:t>
            </w:r>
          </w:p>
          <w:p w14:paraId="12B0E20A" w14:textId="0F155F80" w:rsidR="005E3A87" w:rsidRPr="003B6E15" w:rsidRDefault="005E3A87" w:rsidP="00181B0F">
            <w:pPr>
              <w:jc w:val="left"/>
              <w:rPr>
                <w:b/>
                <w:i/>
                <w:sz w:val="20"/>
                <w:lang w:val="de-CH" w:eastAsia="de-CH"/>
              </w:rPr>
            </w:pPr>
            <w:r w:rsidRPr="003B6E15">
              <w:rPr>
                <w:b/>
                <w:i/>
                <w:sz w:val="20"/>
                <w:lang w:val="de-CH" w:eastAsia="de-CH"/>
              </w:rPr>
              <w:t>Level 2b</w:t>
            </w:r>
          </w:p>
        </w:tc>
        <w:tc>
          <w:tcPr>
            <w:tcW w:w="1276" w:type="dxa"/>
            <w:shd w:val="clear" w:color="auto" w:fill="auto"/>
            <w:vAlign w:val="center"/>
          </w:tcPr>
          <w:p w14:paraId="26DC6430" w14:textId="6DFB41F2" w:rsidR="005E3A87" w:rsidRPr="00AC3857" w:rsidRDefault="005E3A87" w:rsidP="00181B0F">
            <w:pPr>
              <w:jc w:val="left"/>
              <w:rPr>
                <w:sz w:val="20"/>
                <w:lang w:val="de-CH" w:eastAsia="de-CH"/>
              </w:rPr>
            </w:pPr>
            <w:proofErr w:type="spellStart"/>
            <w:r w:rsidRPr="00AC3857">
              <w:rPr>
                <w:sz w:val="20"/>
                <w:lang w:val="de-CH" w:eastAsia="de-CH"/>
              </w:rPr>
              <w:t>Pesticide</w:t>
            </w:r>
            <w:proofErr w:type="spellEnd"/>
            <w:r w:rsidRPr="00AC3857">
              <w:rPr>
                <w:sz w:val="20"/>
                <w:lang w:val="de-CH" w:eastAsia="de-CH"/>
              </w:rPr>
              <w:t xml:space="preserve"> TP</w:t>
            </w:r>
          </w:p>
        </w:tc>
        <w:tc>
          <w:tcPr>
            <w:tcW w:w="850" w:type="dxa"/>
            <w:vAlign w:val="center"/>
          </w:tcPr>
          <w:p w14:paraId="6FFC5502" w14:textId="0AD42275" w:rsidR="005E3A87" w:rsidRPr="00AC3857" w:rsidRDefault="005E3A87" w:rsidP="00181B0F">
            <w:pPr>
              <w:jc w:val="left"/>
              <w:rPr>
                <w:sz w:val="20"/>
                <w:lang w:val="de-CH" w:eastAsia="de-CH"/>
              </w:rPr>
            </w:pPr>
            <w:r>
              <w:rPr>
                <w:sz w:val="20"/>
                <w:lang w:val="de-CH" w:eastAsia="de-CH"/>
              </w:rPr>
              <w:t>1.0</w:t>
            </w:r>
          </w:p>
        </w:tc>
        <w:tc>
          <w:tcPr>
            <w:tcW w:w="850" w:type="dxa"/>
            <w:vAlign w:val="center"/>
          </w:tcPr>
          <w:p w14:paraId="3E562A2F" w14:textId="71A59455" w:rsidR="005E3A87" w:rsidRPr="00AC3857" w:rsidRDefault="005E3A87" w:rsidP="00181B0F">
            <w:pPr>
              <w:jc w:val="left"/>
              <w:rPr>
                <w:sz w:val="20"/>
                <w:lang w:val="de-CH" w:eastAsia="de-CH"/>
              </w:rPr>
            </w:pPr>
            <w:proofErr w:type="spellStart"/>
            <w:r>
              <w:rPr>
                <w:sz w:val="20"/>
                <w:lang w:val="de-CH" w:eastAsia="de-CH"/>
              </w:rPr>
              <w:t>no</w:t>
            </w:r>
            <w:proofErr w:type="spellEnd"/>
            <w:r>
              <w:rPr>
                <w:sz w:val="20"/>
                <w:lang w:val="de-CH" w:eastAsia="de-CH"/>
              </w:rPr>
              <w:t xml:space="preserve"> </w:t>
            </w:r>
            <w:proofErr w:type="spellStart"/>
            <w:r>
              <w:rPr>
                <w:sz w:val="20"/>
                <w:lang w:val="de-CH" w:eastAsia="de-CH"/>
              </w:rPr>
              <w:t>standard</w:t>
            </w:r>
            <w:proofErr w:type="spellEnd"/>
          </w:p>
        </w:tc>
        <w:tc>
          <w:tcPr>
            <w:tcW w:w="850" w:type="dxa"/>
            <w:shd w:val="clear" w:color="auto" w:fill="auto"/>
            <w:vAlign w:val="center"/>
          </w:tcPr>
          <w:p w14:paraId="0A9D1BAD" w14:textId="33FD3B21" w:rsidR="005E3A87" w:rsidRPr="00AC3857" w:rsidRDefault="005E3A87" w:rsidP="00181B0F">
            <w:pPr>
              <w:jc w:val="left"/>
              <w:rPr>
                <w:sz w:val="20"/>
                <w:lang w:val="de-CH" w:eastAsia="de-CH"/>
              </w:rPr>
            </w:pPr>
            <w:r>
              <w:rPr>
                <w:sz w:val="20"/>
                <w:lang w:val="de-CH" w:eastAsia="de-CH"/>
              </w:rPr>
              <w:t>11</w:t>
            </w:r>
          </w:p>
        </w:tc>
        <w:tc>
          <w:tcPr>
            <w:tcW w:w="850" w:type="dxa"/>
            <w:vAlign w:val="center"/>
          </w:tcPr>
          <w:p w14:paraId="483B8414" w14:textId="126FD9F3" w:rsidR="005E3A87" w:rsidRPr="00AC3857" w:rsidRDefault="005E3A87" w:rsidP="00181B0F">
            <w:pPr>
              <w:jc w:val="left"/>
              <w:rPr>
                <w:sz w:val="20"/>
                <w:lang w:val="de-CH" w:eastAsia="de-CH"/>
              </w:rPr>
            </w:pPr>
            <w:r>
              <w:rPr>
                <w:sz w:val="20"/>
                <w:lang w:val="de-CH" w:eastAsia="de-CH"/>
              </w:rPr>
              <w:t>~1.9</w:t>
            </w:r>
          </w:p>
        </w:tc>
        <w:tc>
          <w:tcPr>
            <w:tcW w:w="850" w:type="dxa"/>
            <w:vAlign w:val="center"/>
          </w:tcPr>
          <w:p w14:paraId="15134A74" w14:textId="6530990C" w:rsidR="005E3A87" w:rsidRDefault="00EB20E8" w:rsidP="00181B0F">
            <w:pPr>
              <w:jc w:val="left"/>
              <w:rPr>
                <w:sz w:val="20"/>
                <w:lang w:val="de-CH" w:eastAsia="de-CH"/>
              </w:rPr>
            </w:pPr>
            <w:r>
              <w:rPr>
                <w:sz w:val="20"/>
                <w:lang w:val="de-CH" w:eastAsia="de-CH"/>
              </w:rPr>
              <w:t>14</w:t>
            </w:r>
          </w:p>
        </w:tc>
        <w:tc>
          <w:tcPr>
            <w:tcW w:w="850" w:type="dxa"/>
            <w:shd w:val="clear" w:color="auto" w:fill="auto"/>
            <w:vAlign w:val="center"/>
          </w:tcPr>
          <w:p w14:paraId="2E46D101" w14:textId="671B1576" w:rsidR="005E3A87" w:rsidRPr="00AC3857" w:rsidRDefault="005E3A87" w:rsidP="00181B0F">
            <w:pPr>
              <w:jc w:val="left"/>
              <w:rPr>
                <w:sz w:val="20"/>
                <w:lang w:val="de-CH" w:eastAsia="de-CH"/>
              </w:rPr>
            </w:pPr>
            <w:r>
              <w:rPr>
                <w:sz w:val="20"/>
                <w:lang w:val="de-CH" w:eastAsia="de-CH"/>
              </w:rPr>
              <w:t>~120</w:t>
            </w:r>
          </w:p>
        </w:tc>
      </w:tr>
      <w:tr w:rsidR="005E3A87" w:rsidRPr="00C33696" w14:paraId="6C46975F" w14:textId="77777777" w:rsidTr="00181B0F">
        <w:tc>
          <w:tcPr>
            <w:tcW w:w="2830" w:type="dxa"/>
            <w:shd w:val="clear" w:color="auto" w:fill="auto"/>
            <w:vAlign w:val="center"/>
          </w:tcPr>
          <w:p w14:paraId="099CBB78" w14:textId="77777777" w:rsidR="005E3A87" w:rsidRPr="00AC3857" w:rsidRDefault="005E3A87" w:rsidP="00181B0F">
            <w:pPr>
              <w:jc w:val="left"/>
              <w:rPr>
                <w:i/>
                <w:sz w:val="20"/>
                <w:lang w:val="de-CH" w:eastAsia="de-CH"/>
              </w:rPr>
            </w:pPr>
            <w:proofErr w:type="spellStart"/>
            <w:r w:rsidRPr="00AC3857">
              <w:rPr>
                <w:i/>
                <w:sz w:val="20"/>
                <w:lang w:val="de-CH" w:eastAsia="de-CH"/>
              </w:rPr>
              <w:t>Fludioxonil</w:t>
            </w:r>
            <w:proofErr w:type="spellEnd"/>
            <w:r w:rsidRPr="00AC3857">
              <w:rPr>
                <w:i/>
                <w:sz w:val="20"/>
                <w:lang w:val="de-CH" w:eastAsia="de-CH"/>
              </w:rPr>
              <w:t xml:space="preserve"> TP CGA 192155</w:t>
            </w:r>
          </w:p>
        </w:tc>
        <w:tc>
          <w:tcPr>
            <w:tcW w:w="1276" w:type="dxa"/>
            <w:shd w:val="clear" w:color="auto" w:fill="auto"/>
            <w:vAlign w:val="center"/>
          </w:tcPr>
          <w:p w14:paraId="5CD0B0BA" w14:textId="77777777" w:rsidR="005E3A87" w:rsidRPr="00AC3857" w:rsidRDefault="005E3A87" w:rsidP="00181B0F">
            <w:pPr>
              <w:jc w:val="left"/>
              <w:rPr>
                <w:sz w:val="20"/>
                <w:lang w:val="de-CH" w:eastAsia="de-CH"/>
              </w:rPr>
            </w:pPr>
            <w:proofErr w:type="spellStart"/>
            <w:r w:rsidRPr="00AC3857">
              <w:rPr>
                <w:sz w:val="20"/>
                <w:lang w:val="de-CH" w:eastAsia="de-CH"/>
              </w:rPr>
              <w:t>Pesticide</w:t>
            </w:r>
            <w:proofErr w:type="spellEnd"/>
            <w:r w:rsidRPr="00AC3857">
              <w:rPr>
                <w:sz w:val="20"/>
                <w:lang w:val="de-CH" w:eastAsia="de-CH"/>
              </w:rPr>
              <w:t xml:space="preserve"> TP</w:t>
            </w:r>
          </w:p>
        </w:tc>
        <w:tc>
          <w:tcPr>
            <w:tcW w:w="850" w:type="dxa"/>
            <w:vAlign w:val="center"/>
          </w:tcPr>
          <w:p w14:paraId="4D18AA02" w14:textId="77777777" w:rsidR="005E3A87" w:rsidRPr="00AC3857" w:rsidRDefault="005E3A87" w:rsidP="00181B0F">
            <w:pPr>
              <w:jc w:val="left"/>
              <w:rPr>
                <w:sz w:val="20"/>
                <w:lang w:val="de-CH" w:eastAsia="de-CH"/>
              </w:rPr>
            </w:pPr>
            <w:r w:rsidRPr="00AC3857">
              <w:rPr>
                <w:sz w:val="20"/>
                <w:lang w:val="de-CH" w:eastAsia="de-CH"/>
              </w:rPr>
              <w:t>-0.7</w:t>
            </w:r>
          </w:p>
        </w:tc>
        <w:tc>
          <w:tcPr>
            <w:tcW w:w="850" w:type="dxa"/>
            <w:vAlign w:val="center"/>
          </w:tcPr>
          <w:p w14:paraId="1B60EC3D" w14:textId="0356B929" w:rsidR="005E3A87" w:rsidRPr="00AC3857" w:rsidRDefault="005E3A87" w:rsidP="00181B0F">
            <w:pPr>
              <w:jc w:val="left"/>
              <w:rPr>
                <w:sz w:val="20"/>
                <w:lang w:val="de-CH" w:eastAsia="de-CH"/>
              </w:rPr>
            </w:pPr>
            <w:r w:rsidRPr="00AC3857">
              <w:rPr>
                <w:sz w:val="20"/>
                <w:lang w:val="de-CH" w:eastAsia="de-CH"/>
              </w:rPr>
              <w:t>3</w:t>
            </w:r>
          </w:p>
        </w:tc>
        <w:tc>
          <w:tcPr>
            <w:tcW w:w="850" w:type="dxa"/>
            <w:shd w:val="clear" w:color="auto" w:fill="auto"/>
            <w:vAlign w:val="center"/>
          </w:tcPr>
          <w:p w14:paraId="463EF1C8" w14:textId="1C91AB2F" w:rsidR="005E3A87" w:rsidRPr="00AC3857" w:rsidRDefault="005E3A87" w:rsidP="00181B0F">
            <w:pPr>
              <w:jc w:val="left"/>
              <w:rPr>
                <w:sz w:val="20"/>
                <w:lang w:val="de-CH" w:eastAsia="de-CH"/>
              </w:rPr>
            </w:pPr>
            <w:r w:rsidRPr="00AC3857">
              <w:rPr>
                <w:sz w:val="20"/>
                <w:lang w:val="de-CH" w:eastAsia="de-CH"/>
              </w:rPr>
              <w:t>2</w:t>
            </w:r>
          </w:p>
        </w:tc>
        <w:tc>
          <w:tcPr>
            <w:tcW w:w="850" w:type="dxa"/>
            <w:vAlign w:val="center"/>
          </w:tcPr>
          <w:p w14:paraId="77CE6470" w14:textId="7EAC70B0" w:rsidR="005E3A87" w:rsidRPr="00AC3857" w:rsidRDefault="006A59C2" w:rsidP="00181B0F">
            <w:pPr>
              <w:jc w:val="left"/>
              <w:rPr>
                <w:sz w:val="20"/>
                <w:lang w:val="de-CH" w:eastAsia="de-CH"/>
              </w:rPr>
            </w:pPr>
            <w:r>
              <w:rPr>
                <w:sz w:val="20"/>
                <w:lang w:val="de-CH" w:eastAsia="de-CH"/>
              </w:rPr>
              <w:t>-</w:t>
            </w:r>
          </w:p>
        </w:tc>
        <w:tc>
          <w:tcPr>
            <w:tcW w:w="850" w:type="dxa"/>
            <w:vAlign w:val="center"/>
          </w:tcPr>
          <w:p w14:paraId="6CE8AF34" w14:textId="37247DEF" w:rsidR="005E3A87" w:rsidRPr="00AC3857" w:rsidRDefault="006A59C2" w:rsidP="00181B0F">
            <w:pPr>
              <w:jc w:val="left"/>
              <w:rPr>
                <w:sz w:val="20"/>
                <w:lang w:val="de-CH" w:eastAsia="de-CH"/>
              </w:rPr>
            </w:pPr>
            <w:r>
              <w:rPr>
                <w:sz w:val="20"/>
                <w:lang w:val="de-CH" w:eastAsia="de-CH"/>
              </w:rPr>
              <w:t>-</w:t>
            </w:r>
          </w:p>
        </w:tc>
        <w:tc>
          <w:tcPr>
            <w:tcW w:w="850" w:type="dxa"/>
            <w:shd w:val="clear" w:color="auto" w:fill="auto"/>
            <w:vAlign w:val="center"/>
          </w:tcPr>
          <w:p w14:paraId="43F01446" w14:textId="201BFDEA" w:rsidR="005E3A87" w:rsidRPr="00AC3857" w:rsidRDefault="005E3A87" w:rsidP="00181B0F">
            <w:pPr>
              <w:jc w:val="left"/>
              <w:rPr>
                <w:sz w:val="20"/>
                <w:lang w:val="de-CH" w:eastAsia="de-CH"/>
              </w:rPr>
            </w:pPr>
            <w:r w:rsidRPr="00AC3857">
              <w:rPr>
                <w:sz w:val="20"/>
                <w:lang w:val="de-CH" w:eastAsia="de-CH"/>
              </w:rPr>
              <w:t>200</w:t>
            </w:r>
          </w:p>
        </w:tc>
      </w:tr>
      <w:tr w:rsidR="005E3A87" w:rsidRPr="00C33696" w14:paraId="0D66521F" w14:textId="77777777" w:rsidTr="00181B0F">
        <w:tc>
          <w:tcPr>
            <w:tcW w:w="2830" w:type="dxa"/>
            <w:shd w:val="clear" w:color="auto" w:fill="auto"/>
            <w:vAlign w:val="center"/>
          </w:tcPr>
          <w:p w14:paraId="6B29FE76" w14:textId="77777777" w:rsidR="005E3A87" w:rsidRPr="00AC3857" w:rsidRDefault="005E3A87" w:rsidP="00181B0F">
            <w:pPr>
              <w:jc w:val="left"/>
              <w:rPr>
                <w:i/>
                <w:sz w:val="20"/>
                <w:lang w:eastAsia="de-CH"/>
              </w:rPr>
            </w:pPr>
            <w:proofErr w:type="spellStart"/>
            <w:r w:rsidRPr="00AC3857">
              <w:rPr>
                <w:i/>
                <w:sz w:val="20"/>
                <w:lang w:eastAsia="de-CH"/>
              </w:rPr>
              <w:t>Metolachlor</w:t>
            </w:r>
            <w:proofErr w:type="spellEnd"/>
            <w:r w:rsidRPr="00AC3857">
              <w:rPr>
                <w:i/>
                <w:sz w:val="20"/>
                <w:lang w:eastAsia="de-CH"/>
              </w:rPr>
              <w:t xml:space="preserve"> TP CGA 368208 (=</w:t>
            </w:r>
            <w:proofErr w:type="spellStart"/>
            <w:r w:rsidRPr="00AC3857">
              <w:rPr>
                <w:i/>
                <w:sz w:val="20"/>
                <w:lang w:eastAsia="de-CH"/>
              </w:rPr>
              <w:t>Acetochlor</w:t>
            </w:r>
            <w:proofErr w:type="spellEnd"/>
            <w:r w:rsidRPr="00AC3857">
              <w:rPr>
                <w:i/>
                <w:sz w:val="20"/>
                <w:lang w:eastAsia="de-CH"/>
              </w:rPr>
              <w:t xml:space="preserve"> sulfonic acid)</w:t>
            </w:r>
          </w:p>
        </w:tc>
        <w:tc>
          <w:tcPr>
            <w:tcW w:w="1276" w:type="dxa"/>
            <w:shd w:val="clear" w:color="auto" w:fill="auto"/>
            <w:vAlign w:val="center"/>
          </w:tcPr>
          <w:p w14:paraId="4513E4E3" w14:textId="77777777" w:rsidR="005E3A87" w:rsidRPr="00AC3857" w:rsidRDefault="005E3A87" w:rsidP="00181B0F">
            <w:pPr>
              <w:jc w:val="left"/>
              <w:rPr>
                <w:sz w:val="20"/>
                <w:lang w:eastAsia="de-CH"/>
              </w:rPr>
            </w:pPr>
            <w:r w:rsidRPr="00AC3857">
              <w:rPr>
                <w:sz w:val="20"/>
                <w:lang w:eastAsia="de-CH"/>
              </w:rPr>
              <w:t>Pesticide TP</w:t>
            </w:r>
          </w:p>
        </w:tc>
        <w:tc>
          <w:tcPr>
            <w:tcW w:w="850" w:type="dxa"/>
            <w:vAlign w:val="center"/>
          </w:tcPr>
          <w:p w14:paraId="2740A139" w14:textId="77777777" w:rsidR="005E3A87" w:rsidRPr="00AC3857" w:rsidRDefault="005E3A87" w:rsidP="00181B0F">
            <w:pPr>
              <w:jc w:val="left"/>
              <w:rPr>
                <w:sz w:val="20"/>
                <w:lang w:eastAsia="de-CH"/>
              </w:rPr>
            </w:pPr>
            <w:r w:rsidRPr="00AC3857">
              <w:rPr>
                <w:sz w:val="20"/>
                <w:lang w:eastAsia="de-CH"/>
              </w:rPr>
              <w:t>-0.5</w:t>
            </w:r>
          </w:p>
        </w:tc>
        <w:tc>
          <w:tcPr>
            <w:tcW w:w="850" w:type="dxa"/>
            <w:vAlign w:val="center"/>
          </w:tcPr>
          <w:p w14:paraId="538FAC26" w14:textId="3109FD43" w:rsidR="005E3A87" w:rsidRPr="00AC3857" w:rsidRDefault="005E3A87" w:rsidP="00181B0F">
            <w:pPr>
              <w:jc w:val="left"/>
              <w:rPr>
                <w:sz w:val="20"/>
                <w:lang w:eastAsia="de-CH"/>
              </w:rPr>
            </w:pPr>
            <w:r w:rsidRPr="00AC3857">
              <w:rPr>
                <w:sz w:val="20"/>
                <w:lang w:eastAsia="de-CH"/>
              </w:rPr>
              <w:t>1</w:t>
            </w:r>
          </w:p>
        </w:tc>
        <w:tc>
          <w:tcPr>
            <w:tcW w:w="850" w:type="dxa"/>
            <w:shd w:val="clear" w:color="auto" w:fill="auto"/>
            <w:vAlign w:val="center"/>
          </w:tcPr>
          <w:p w14:paraId="7575C97E" w14:textId="7053A28B" w:rsidR="005E3A87" w:rsidRPr="00AC3857" w:rsidRDefault="005E3A87" w:rsidP="00181B0F">
            <w:pPr>
              <w:jc w:val="left"/>
              <w:rPr>
                <w:sz w:val="20"/>
                <w:lang w:eastAsia="de-CH"/>
              </w:rPr>
            </w:pPr>
            <w:r w:rsidRPr="00AC3857">
              <w:rPr>
                <w:sz w:val="20"/>
                <w:lang w:eastAsia="de-CH"/>
              </w:rPr>
              <w:t>20</w:t>
            </w:r>
          </w:p>
        </w:tc>
        <w:tc>
          <w:tcPr>
            <w:tcW w:w="850" w:type="dxa"/>
            <w:vAlign w:val="center"/>
          </w:tcPr>
          <w:p w14:paraId="42BFD30C" w14:textId="77777777" w:rsidR="005E3A87" w:rsidRPr="00AC3857" w:rsidRDefault="005E3A87" w:rsidP="00181B0F">
            <w:pPr>
              <w:jc w:val="left"/>
              <w:rPr>
                <w:sz w:val="20"/>
                <w:lang w:eastAsia="de-CH"/>
              </w:rPr>
            </w:pPr>
            <w:r w:rsidRPr="00AC3857">
              <w:rPr>
                <w:sz w:val="20"/>
                <w:lang w:eastAsia="de-CH"/>
              </w:rPr>
              <w:t>3.2</w:t>
            </w:r>
          </w:p>
        </w:tc>
        <w:tc>
          <w:tcPr>
            <w:tcW w:w="850" w:type="dxa"/>
            <w:vAlign w:val="center"/>
          </w:tcPr>
          <w:p w14:paraId="6470D2CB" w14:textId="674EC13A" w:rsidR="005E3A87" w:rsidRPr="00AC3857" w:rsidRDefault="00EB20E8" w:rsidP="00181B0F">
            <w:pPr>
              <w:jc w:val="left"/>
              <w:rPr>
                <w:sz w:val="20"/>
                <w:lang w:eastAsia="de-CH"/>
              </w:rPr>
            </w:pPr>
            <w:r>
              <w:rPr>
                <w:sz w:val="20"/>
                <w:lang w:eastAsia="de-CH"/>
              </w:rPr>
              <w:t>46</w:t>
            </w:r>
          </w:p>
        </w:tc>
        <w:tc>
          <w:tcPr>
            <w:tcW w:w="850" w:type="dxa"/>
            <w:shd w:val="clear" w:color="auto" w:fill="auto"/>
            <w:vAlign w:val="center"/>
          </w:tcPr>
          <w:p w14:paraId="541038F8" w14:textId="35965CBF" w:rsidR="005E3A87" w:rsidRPr="00AC3857" w:rsidRDefault="005E3A87" w:rsidP="00181B0F">
            <w:pPr>
              <w:jc w:val="left"/>
              <w:rPr>
                <w:sz w:val="20"/>
                <w:lang w:eastAsia="de-CH"/>
              </w:rPr>
            </w:pPr>
            <w:r w:rsidRPr="00AC3857">
              <w:rPr>
                <w:sz w:val="20"/>
                <w:lang w:eastAsia="de-CH"/>
              </w:rPr>
              <w:t>150</w:t>
            </w:r>
          </w:p>
        </w:tc>
      </w:tr>
      <w:tr w:rsidR="005E3A87" w:rsidRPr="00C33696" w14:paraId="5F2EFC15" w14:textId="77777777" w:rsidTr="00181B0F">
        <w:tc>
          <w:tcPr>
            <w:tcW w:w="2830" w:type="dxa"/>
            <w:shd w:val="clear" w:color="auto" w:fill="auto"/>
            <w:vAlign w:val="center"/>
          </w:tcPr>
          <w:p w14:paraId="29692270" w14:textId="77777777" w:rsidR="005E3A87" w:rsidRPr="00AC3857" w:rsidRDefault="005E3A87" w:rsidP="00181B0F">
            <w:pPr>
              <w:jc w:val="left"/>
              <w:rPr>
                <w:i/>
                <w:sz w:val="20"/>
                <w:lang w:eastAsia="de-CH"/>
              </w:rPr>
            </w:pPr>
            <w:proofErr w:type="spellStart"/>
            <w:r w:rsidRPr="00AC3857">
              <w:rPr>
                <w:i/>
                <w:sz w:val="20"/>
                <w:lang w:eastAsia="de-CH"/>
              </w:rPr>
              <w:t>Metolachlor</w:t>
            </w:r>
            <w:proofErr w:type="spellEnd"/>
            <w:r w:rsidRPr="00AC3857">
              <w:rPr>
                <w:i/>
                <w:sz w:val="20"/>
                <w:lang w:eastAsia="de-CH"/>
              </w:rPr>
              <w:t xml:space="preserve"> TP NOA413173</w:t>
            </w:r>
          </w:p>
        </w:tc>
        <w:tc>
          <w:tcPr>
            <w:tcW w:w="1276" w:type="dxa"/>
            <w:shd w:val="clear" w:color="auto" w:fill="auto"/>
            <w:vAlign w:val="center"/>
          </w:tcPr>
          <w:p w14:paraId="415AFED9" w14:textId="77777777" w:rsidR="005E3A87" w:rsidRPr="00AC3857" w:rsidRDefault="005E3A87" w:rsidP="00181B0F">
            <w:pPr>
              <w:jc w:val="left"/>
              <w:rPr>
                <w:sz w:val="20"/>
                <w:lang w:eastAsia="de-CH"/>
              </w:rPr>
            </w:pPr>
            <w:r w:rsidRPr="00AC3857">
              <w:rPr>
                <w:sz w:val="20"/>
                <w:lang w:eastAsia="de-CH"/>
              </w:rPr>
              <w:t>Pesticide TP</w:t>
            </w:r>
          </w:p>
        </w:tc>
        <w:tc>
          <w:tcPr>
            <w:tcW w:w="850" w:type="dxa"/>
            <w:vAlign w:val="center"/>
          </w:tcPr>
          <w:p w14:paraId="5AEFB4B4" w14:textId="77777777" w:rsidR="005E3A87" w:rsidRPr="00AC3857" w:rsidRDefault="005E3A87" w:rsidP="00181B0F">
            <w:pPr>
              <w:jc w:val="left"/>
              <w:rPr>
                <w:sz w:val="20"/>
                <w:lang w:eastAsia="de-CH"/>
              </w:rPr>
            </w:pPr>
            <w:r w:rsidRPr="00AC3857">
              <w:rPr>
                <w:sz w:val="20"/>
                <w:lang w:eastAsia="de-CH"/>
              </w:rPr>
              <w:t>-3.4</w:t>
            </w:r>
          </w:p>
        </w:tc>
        <w:tc>
          <w:tcPr>
            <w:tcW w:w="850" w:type="dxa"/>
            <w:vAlign w:val="center"/>
          </w:tcPr>
          <w:p w14:paraId="36D4AE01" w14:textId="5A075ADC" w:rsidR="005E3A87" w:rsidRPr="00AC3857" w:rsidRDefault="005E3A87" w:rsidP="00181B0F">
            <w:pPr>
              <w:jc w:val="left"/>
              <w:rPr>
                <w:sz w:val="20"/>
                <w:lang w:eastAsia="de-CH"/>
              </w:rPr>
            </w:pPr>
            <w:r w:rsidRPr="00AC3857">
              <w:rPr>
                <w:sz w:val="20"/>
                <w:lang w:eastAsia="de-CH"/>
              </w:rPr>
              <w:t>1.7</w:t>
            </w:r>
          </w:p>
        </w:tc>
        <w:tc>
          <w:tcPr>
            <w:tcW w:w="850" w:type="dxa"/>
            <w:shd w:val="clear" w:color="auto" w:fill="auto"/>
            <w:vAlign w:val="center"/>
          </w:tcPr>
          <w:p w14:paraId="38F4507B" w14:textId="49CC1F2C" w:rsidR="005E3A87" w:rsidRPr="00AC3857" w:rsidRDefault="005E3A87" w:rsidP="00181B0F">
            <w:pPr>
              <w:jc w:val="left"/>
              <w:rPr>
                <w:sz w:val="20"/>
                <w:lang w:eastAsia="de-CH"/>
              </w:rPr>
            </w:pPr>
            <w:r w:rsidRPr="00AC3857">
              <w:rPr>
                <w:sz w:val="20"/>
                <w:lang w:eastAsia="de-CH"/>
              </w:rPr>
              <w:t>22</w:t>
            </w:r>
          </w:p>
        </w:tc>
        <w:tc>
          <w:tcPr>
            <w:tcW w:w="850" w:type="dxa"/>
            <w:vAlign w:val="center"/>
          </w:tcPr>
          <w:p w14:paraId="0FC05887" w14:textId="77777777" w:rsidR="005E3A87" w:rsidRPr="00AC3857" w:rsidRDefault="005E3A87" w:rsidP="00181B0F">
            <w:pPr>
              <w:jc w:val="left"/>
              <w:rPr>
                <w:sz w:val="20"/>
                <w:lang w:eastAsia="de-CH"/>
              </w:rPr>
            </w:pPr>
            <w:r w:rsidRPr="00AC3857">
              <w:rPr>
                <w:sz w:val="20"/>
                <w:lang w:eastAsia="de-CH"/>
              </w:rPr>
              <w:t>7</w:t>
            </w:r>
          </w:p>
        </w:tc>
        <w:tc>
          <w:tcPr>
            <w:tcW w:w="850" w:type="dxa"/>
            <w:vAlign w:val="center"/>
          </w:tcPr>
          <w:p w14:paraId="3C50984F" w14:textId="11699F25" w:rsidR="005E3A87" w:rsidRPr="00AC3857" w:rsidRDefault="00EB20E8" w:rsidP="00181B0F">
            <w:pPr>
              <w:jc w:val="left"/>
              <w:rPr>
                <w:sz w:val="20"/>
                <w:lang w:eastAsia="de-CH"/>
              </w:rPr>
            </w:pPr>
            <w:r>
              <w:rPr>
                <w:sz w:val="20"/>
                <w:lang w:eastAsia="de-CH"/>
              </w:rPr>
              <w:t>130</w:t>
            </w:r>
          </w:p>
        </w:tc>
        <w:tc>
          <w:tcPr>
            <w:tcW w:w="850" w:type="dxa"/>
            <w:shd w:val="clear" w:color="auto" w:fill="auto"/>
            <w:vAlign w:val="center"/>
          </w:tcPr>
          <w:p w14:paraId="6110DE5A" w14:textId="5753938E" w:rsidR="005E3A87" w:rsidRPr="00AC3857" w:rsidRDefault="005E3A87" w:rsidP="00181B0F">
            <w:pPr>
              <w:jc w:val="left"/>
              <w:rPr>
                <w:sz w:val="20"/>
                <w:lang w:eastAsia="de-CH"/>
              </w:rPr>
            </w:pPr>
            <w:r w:rsidRPr="00AC3857">
              <w:rPr>
                <w:sz w:val="20"/>
                <w:lang w:eastAsia="de-CH"/>
              </w:rPr>
              <w:t>430</w:t>
            </w:r>
          </w:p>
        </w:tc>
      </w:tr>
      <w:tr w:rsidR="005E3A87" w:rsidRPr="00C661EB" w14:paraId="1BDB1E1C" w14:textId="77777777" w:rsidTr="00181B0F">
        <w:tc>
          <w:tcPr>
            <w:tcW w:w="2830" w:type="dxa"/>
            <w:shd w:val="clear" w:color="auto" w:fill="auto"/>
            <w:vAlign w:val="center"/>
          </w:tcPr>
          <w:p w14:paraId="2889A638" w14:textId="77777777" w:rsidR="005E3A87" w:rsidRPr="00AC3857" w:rsidRDefault="005E3A87" w:rsidP="00181B0F">
            <w:pPr>
              <w:jc w:val="left"/>
              <w:rPr>
                <w:sz w:val="20"/>
                <w:lang w:val="de-CH" w:eastAsia="de-CH"/>
              </w:rPr>
            </w:pPr>
            <w:proofErr w:type="spellStart"/>
            <w:r w:rsidRPr="00AC3857">
              <w:rPr>
                <w:sz w:val="20"/>
                <w:lang w:val="de-CH" w:eastAsia="de-CH"/>
              </w:rPr>
              <w:t>Metolachlor</w:t>
            </w:r>
            <w:proofErr w:type="spellEnd"/>
            <w:r w:rsidRPr="00AC3857">
              <w:rPr>
                <w:sz w:val="20"/>
                <w:lang w:val="de-CH" w:eastAsia="de-CH"/>
              </w:rPr>
              <w:t>-ESA*</w:t>
            </w:r>
          </w:p>
        </w:tc>
        <w:tc>
          <w:tcPr>
            <w:tcW w:w="1276" w:type="dxa"/>
            <w:shd w:val="clear" w:color="auto" w:fill="auto"/>
            <w:vAlign w:val="center"/>
          </w:tcPr>
          <w:p w14:paraId="43BA7E19" w14:textId="77777777" w:rsidR="005E3A87" w:rsidRPr="00AC3857" w:rsidRDefault="005E3A87" w:rsidP="00181B0F">
            <w:pPr>
              <w:jc w:val="left"/>
              <w:rPr>
                <w:sz w:val="20"/>
                <w:lang w:val="de-CH" w:eastAsia="de-CH"/>
              </w:rPr>
            </w:pPr>
            <w:proofErr w:type="spellStart"/>
            <w:r w:rsidRPr="00AC3857">
              <w:rPr>
                <w:sz w:val="20"/>
                <w:lang w:val="de-CH" w:eastAsia="de-CH"/>
              </w:rPr>
              <w:t>Pesticide</w:t>
            </w:r>
            <w:proofErr w:type="spellEnd"/>
            <w:r w:rsidRPr="00AC3857">
              <w:rPr>
                <w:sz w:val="20"/>
                <w:lang w:val="de-CH" w:eastAsia="de-CH"/>
              </w:rPr>
              <w:t xml:space="preserve"> TP</w:t>
            </w:r>
          </w:p>
        </w:tc>
        <w:tc>
          <w:tcPr>
            <w:tcW w:w="850" w:type="dxa"/>
            <w:vAlign w:val="center"/>
          </w:tcPr>
          <w:p w14:paraId="6484510F" w14:textId="77777777" w:rsidR="005E3A87" w:rsidRPr="00AC3857" w:rsidRDefault="005E3A87" w:rsidP="00181B0F">
            <w:pPr>
              <w:jc w:val="left"/>
              <w:rPr>
                <w:sz w:val="20"/>
                <w:lang w:val="de-CH" w:eastAsia="de-CH"/>
              </w:rPr>
            </w:pPr>
            <w:r w:rsidRPr="00AC3857">
              <w:rPr>
                <w:sz w:val="20"/>
                <w:lang w:val="de-CH" w:eastAsia="de-CH"/>
              </w:rPr>
              <w:t>-0.3</w:t>
            </w:r>
          </w:p>
        </w:tc>
        <w:tc>
          <w:tcPr>
            <w:tcW w:w="850" w:type="dxa"/>
            <w:vAlign w:val="center"/>
          </w:tcPr>
          <w:p w14:paraId="41BBA97E" w14:textId="0634C9E6" w:rsidR="005E3A87" w:rsidRPr="00AC3857" w:rsidRDefault="005E3A87" w:rsidP="00181B0F">
            <w:pPr>
              <w:jc w:val="left"/>
              <w:rPr>
                <w:sz w:val="20"/>
                <w:lang w:val="de-CH" w:eastAsia="de-CH"/>
              </w:rPr>
            </w:pPr>
            <w:r w:rsidRPr="00AC3857">
              <w:rPr>
                <w:sz w:val="20"/>
                <w:lang w:val="de-CH" w:eastAsia="de-CH"/>
              </w:rPr>
              <w:t>35</w:t>
            </w:r>
          </w:p>
        </w:tc>
        <w:tc>
          <w:tcPr>
            <w:tcW w:w="850" w:type="dxa"/>
            <w:shd w:val="clear" w:color="auto" w:fill="auto"/>
            <w:vAlign w:val="center"/>
          </w:tcPr>
          <w:p w14:paraId="43268D55" w14:textId="18244018" w:rsidR="005E3A87" w:rsidRPr="00AC3857" w:rsidRDefault="005E3A87" w:rsidP="00181B0F">
            <w:pPr>
              <w:jc w:val="left"/>
              <w:rPr>
                <w:sz w:val="20"/>
                <w:lang w:val="de-CH" w:eastAsia="de-CH"/>
              </w:rPr>
            </w:pPr>
            <w:r w:rsidRPr="00AC3857">
              <w:rPr>
                <w:sz w:val="20"/>
                <w:lang w:val="de-CH" w:eastAsia="de-CH"/>
              </w:rPr>
              <w:t>9*</w:t>
            </w:r>
          </w:p>
        </w:tc>
        <w:tc>
          <w:tcPr>
            <w:tcW w:w="850" w:type="dxa"/>
            <w:vAlign w:val="center"/>
          </w:tcPr>
          <w:p w14:paraId="3908CA66" w14:textId="77777777" w:rsidR="005E3A87" w:rsidRPr="00AC3857" w:rsidRDefault="005E3A87" w:rsidP="00181B0F">
            <w:pPr>
              <w:jc w:val="left"/>
              <w:rPr>
                <w:sz w:val="20"/>
                <w:lang w:val="de-CH" w:eastAsia="de-CH"/>
              </w:rPr>
            </w:pPr>
            <w:r w:rsidRPr="00AC3857">
              <w:rPr>
                <w:sz w:val="20"/>
                <w:lang w:val="de-CH" w:eastAsia="de-CH"/>
              </w:rPr>
              <w:t>69*</w:t>
            </w:r>
          </w:p>
        </w:tc>
        <w:tc>
          <w:tcPr>
            <w:tcW w:w="850" w:type="dxa"/>
            <w:vAlign w:val="center"/>
          </w:tcPr>
          <w:p w14:paraId="626AD446" w14:textId="54F5638D" w:rsidR="005E3A87" w:rsidRPr="00AC3857" w:rsidRDefault="006A59C2" w:rsidP="00181B0F">
            <w:pPr>
              <w:jc w:val="left"/>
              <w:rPr>
                <w:sz w:val="20"/>
                <w:lang w:val="de-CH" w:eastAsia="de-CH"/>
              </w:rPr>
            </w:pPr>
            <w:r>
              <w:rPr>
                <w:sz w:val="20"/>
                <w:lang w:val="de-CH" w:eastAsia="de-CH"/>
              </w:rPr>
              <w:t>642*</w:t>
            </w:r>
          </w:p>
        </w:tc>
        <w:tc>
          <w:tcPr>
            <w:tcW w:w="850" w:type="dxa"/>
            <w:shd w:val="clear" w:color="auto" w:fill="auto"/>
            <w:vAlign w:val="center"/>
          </w:tcPr>
          <w:p w14:paraId="214980B3" w14:textId="7AEFF3D9" w:rsidR="005E3A87" w:rsidRPr="00AC3857" w:rsidRDefault="005E3A87" w:rsidP="00181B0F">
            <w:pPr>
              <w:jc w:val="left"/>
              <w:rPr>
                <w:sz w:val="20"/>
                <w:lang w:val="de-CH" w:eastAsia="de-CH"/>
              </w:rPr>
            </w:pPr>
            <w:r w:rsidRPr="00AC3857">
              <w:rPr>
                <w:sz w:val="20"/>
                <w:lang w:val="de-CH" w:eastAsia="de-CH"/>
              </w:rPr>
              <w:t>970*</w:t>
            </w:r>
          </w:p>
        </w:tc>
      </w:tr>
      <w:tr w:rsidR="005E3A87" w:rsidRPr="00C33696" w14:paraId="714605DB" w14:textId="77777777" w:rsidTr="00181B0F">
        <w:tc>
          <w:tcPr>
            <w:tcW w:w="2830" w:type="dxa"/>
            <w:shd w:val="clear" w:color="auto" w:fill="auto"/>
            <w:vAlign w:val="center"/>
          </w:tcPr>
          <w:p w14:paraId="401ECBCC" w14:textId="77777777" w:rsidR="005E3A87" w:rsidRPr="00AC3857" w:rsidRDefault="005E3A87" w:rsidP="00181B0F">
            <w:pPr>
              <w:jc w:val="left"/>
              <w:rPr>
                <w:i/>
                <w:sz w:val="20"/>
                <w:lang w:eastAsia="de-CH"/>
              </w:rPr>
            </w:pPr>
            <w:proofErr w:type="spellStart"/>
            <w:r w:rsidRPr="00AC3857">
              <w:rPr>
                <w:i/>
                <w:sz w:val="20"/>
                <w:lang w:eastAsia="de-CH"/>
              </w:rPr>
              <w:t>Terbuthylazine</w:t>
            </w:r>
            <w:proofErr w:type="spellEnd"/>
            <w:r w:rsidRPr="00AC3857">
              <w:rPr>
                <w:i/>
                <w:sz w:val="20"/>
                <w:lang w:eastAsia="de-CH"/>
              </w:rPr>
              <w:t xml:space="preserve"> TP CSCD648241</w:t>
            </w:r>
          </w:p>
        </w:tc>
        <w:tc>
          <w:tcPr>
            <w:tcW w:w="1276" w:type="dxa"/>
            <w:shd w:val="clear" w:color="auto" w:fill="auto"/>
            <w:vAlign w:val="center"/>
          </w:tcPr>
          <w:p w14:paraId="787D30B7" w14:textId="77777777" w:rsidR="005E3A87" w:rsidRPr="00AC3857" w:rsidRDefault="005E3A87" w:rsidP="00181B0F">
            <w:pPr>
              <w:jc w:val="left"/>
              <w:rPr>
                <w:sz w:val="20"/>
                <w:lang w:eastAsia="de-CH"/>
              </w:rPr>
            </w:pPr>
            <w:r w:rsidRPr="00AC3857">
              <w:rPr>
                <w:sz w:val="20"/>
                <w:lang w:eastAsia="de-CH"/>
              </w:rPr>
              <w:t>Pesticide TP</w:t>
            </w:r>
          </w:p>
        </w:tc>
        <w:tc>
          <w:tcPr>
            <w:tcW w:w="850" w:type="dxa"/>
            <w:vAlign w:val="center"/>
          </w:tcPr>
          <w:p w14:paraId="75C2D3FD" w14:textId="77777777" w:rsidR="005E3A87" w:rsidRPr="00AC3857" w:rsidRDefault="005E3A87" w:rsidP="00181B0F">
            <w:pPr>
              <w:jc w:val="left"/>
              <w:rPr>
                <w:sz w:val="20"/>
                <w:lang w:eastAsia="de-CH"/>
              </w:rPr>
            </w:pPr>
            <w:r w:rsidRPr="00AC3857">
              <w:rPr>
                <w:sz w:val="20"/>
                <w:lang w:eastAsia="de-CH"/>
              </w:rPr>
              <w:t>-2.5</w:t>
            </w:r>
          </w:p>
        </w:tc>
        <w:tc>
          <w:tcPr>
            <w:tcW w:w="850" w:type="dxa"/>
            <w:vAlign w:val="center"/>
          </w:tcPr>
          <w:p w14:paraId="69704561" w14:textId="77777777" w:rsidR="005E3A87" w:rsidRPr="00AC3857" w:rsidRDefault="005E3A87" w:rsidP="00181B0F">
            <w:pPr>
              <w:jc w:val="left"/>
              <w:rPr>
                <w:sz w:val="20"/>
                <w:lang w:eastAsia="de-CH"/>
              </w:rPr>
            </w:pPr>
          </w:p>
        </w:tc>
        <w:tc>
          <w:tcPr>
            <w:tcW w:w="850" w:type="dxa"/>
            <w:shd w:val="clear" w:color="auto" w:fill="auto"/>
            <w:vAlign w:val="center"/>
          </w:tcPr>
          <w:p w14:paraId="4E4B8652" w14:textId="57621945" w:rsidR="005E3A87" w:rsidRPr="00AC3857" w:rsidRDefault="005E3A87" w:rsidP="00181B0F">
            <w:pPr>
              <w:jc w:val="left"/>
              <w:rPr>
                <w:sz w:val="20"/>
                <w:lang w:eastAsia="de-CH"/>
              </w:rPr>
            </w:pPr>
            <w:r w:rsidRPr="00AC3857">
              <w:rPr>
                <w:sz w:val="20"/>
                <w:lang w:eastAsia="de-CH"/>
              </w:rPr>
              <w:t>29</w:t>
            </w:r>
          </w:p>
        </w:tc>
        <w:tc>
          <w:tcPr>
            <w:tcW w:w="850" w:type="dxa"/>
            <w:vAlign w:val="center"/>
          </w:tcPr>
          <w:p w14:paraId="426CE9E8" w14:textId="77777777" w:rsidR="005E3A87" w:rsidRPr="00AC3857" w:rsidRDefault="005E3A87" w:rsidP="00181B0F">
            <w:pPr>
              <w:jc w:val="left"/>
              <w:rPr>
                <w:sz w:val="20"/>
                <w:lang w:eastAsia="de-CH"/>
              </w:rPr>
            </w:pPr>
            <w:r w:rsidRPr="00AC3857">
              <w:rPr>
                <w:sz w:val="20"/>
                <w:lang w:eastAsia="de-CH"/>
              </w:rPr>
              <w:t>9.5</w:t>
            </w:r>
          </w:p>
        </w:tc>
        <w:tc>
          <w:tcPr>
            <w:tcW w:w="850" w:type="dxa"/>
            <w:vAlign w:val="center"/>
          </w:tcPr>
          <w:p w14:paraId="3E4CC4C9" w14:textId="6EB86D77" w:rsidR="005E3A87" w:rsidRPr="00AC3857" w:rsidRDefault="00EB20E8" w:rsidP="00181B0F">
            <w:pPr>
              <w:jc w:val="left"/>
              <w:rPr>
                <w:sz w:val="20"/>
                <w:lang w:eastAsia="de-CH"/>
              </w:rPr>
            </w:pPr>
            <w:r>
              <w:rPr>
                <w:sz w:val="20"/>
                <w:lang w:eastAsia="de-CH"/>
              </w:rPr>
              <w:t>54</w:t>
            </w:r>
          </w:p>
        </w:tc>
        <w:tc>
          <w:tcPr>
            <w:tcW w:w="850" w:type="dxa"/>
            <w:shd w:val="clear" w:color="auto" w:fill="auto"/>
            <w:vAlign w:val="center"/>
          </w:tcPr>
          <w:p w14:paraId="67563542" w14:textId="375E78CB" w:rsidR="005E3A87" w:rsidRPr="00AC3857" w:rsidRDefault="005E3A87" w:rsidP="00181B0F">
            <w:pPr>
              <w:jc w:val="left"/>
              <w:rPr>
                <w:sz w:val="20"/>
                <w:lang w:eastAsia="de-CH"/>
              </w:rPr>
            </w:pPr>
            <w:r w:rsidRPr="00AC3857">
              <w:rPr>
                <w:sz w:val="20"/>
                <w:lang w:eastAsia="de-CH"/>
              </w:rPr>
              <w:t>190</w:t>
            </w:r>
          </w:p>
        </w:tc>
      </w:tr>
      <w:tr w:rsidR="005E3A87" w:rsidRPr="00C33696" w14:paraId="2F921266" w14:textId="77777777" w:rsidTr="00181B0F">
        <w:tc>
          <w:tcPr>
            <w:tcW w:w="2830" w:type="dxa"/>
            <w:vAlign w:val="center"/>
          </w:tcPr>
          <w:p w14:paraId="265B9D71" w14:textId="77777777" w:rsidR="005E3A87" w:rsidRPr="00AC3857" w:rsidRDefault="005E3A87" w:rsidP="00181B0F">
            <w:pPr>
              <w:jc w:val="left"/>
              <w:rPr>
                <w:sz w:val="20"/>
                <w:lang w:val="de-CH" w:eastAsia="de-CH"/>
              </w:rPr>
            </w:pPr>
            <w:r w:rsidRPr="00AC3857">
              <w:rPr>
                <w:sz w:val="20"/>
                <w:lang w:val="de-CH" w:eastAsia="de-CH"/>
              </w:rPr>
              <w:t>N-N-</w:t>
            </w:r>
            <w:proofErr w:type="spellStart"/>
            <w:r w:rsidRPr="00AC3857">
              <w:rPr>
                <w:sz w:val="20"/>
                <w:lang w:val="de-CH" w:eastAsia="de-CH"/>
              </w:rPr>
              <w:t>dimethylsulfamide</w:t>
            </w:r>
            <w:proofErr w:type="spellEnd"/>
          </w:p>
        </w:tc>
        <w:tc>
          <w:tcPr>
            <w:tcW w:w="1276" w:type="dxa"/>
            <w:vAlign w:val="center"/>
          </w:tcPr>
          <w:p w14:paraId="23B3CDB2" w14:textId="77777777" w:rsidR="005E3A87" w:rsidRPr="00AC3857" w:rsidRDefault="005E3A87" w:rsidP="00181B0F">
            <w:pPr>
              <w:jc w:val="left"/>
              <w:rPr>
                <w:sz w:val="20"/>
                <w:lang w:val="de-CH" w:eastAsia="de-CH"/>
              </w:rPr>
            </w:pPr>
            <w:proofErr w:type="spellStart"/>
            <w:r w:rsidRPr="00AC3857">
              <w:rPr>
                <w:sz w:val="20"/>
                <w:lang w:val="de-CH" w:eastAsia="de-CH"/>
              </w:rPr>
              <w:t>Biocide</w:t>
            </w:r>
            <w:proofErr w:type="spellEnd"/>
            <w:r w:rsidRPr="00AC3857">
              <w:rPr>
                <w:sz w:val="20"/>
                <w:lang w:val="de-CH" w:eastAsia="de-CH"/>
              </w:rPr>
              <w:t xml:space="preserve"> TP</w:t>
            </w:r>
          </w:p>
        </w:tc>
        <w:tc>
          <w:tcPr>
            <w:tcW w:w="850" w:type="dxa"/>
            <w:vAlign w:val="center"/>
          </w:tcPr>
          <w:p w14:paraId="43E6F0BE" w14:textId="77777777" w:rsidR="005E3A87" w:rsidRPr="00AC3857" w:rsidRDefault="005E3A87" w:rsidP="00181B0F">
            <w:pPr>
              <w:jc w:val="left"/>
              <w:rPr>
                <w:sz w:val="20"/>
                <w:lang w:val="de-CH" w:eastAsia="de-CH"/>
              </w:rPr>
            </w:pPr>
            <w:r w:rsidRPr="00AC3857">
              <w:rPr>
                <w:sz w:val="20"/>
                <w:lang w:val="de-CH" w:eastAsia="de-CH"/>
              </w:rPr>
              <w:t>-1.5</w:t>
            </w:r>
          </w:p>
        </w:tc>
        <w:tc>
          <w:tcPr>
            <w:tcW w:w="850" w:type="dxa"/>
            <w:vAlign w:val="center"/>
          </w:tcPr>
          <w:p w14:paraId="2EC2D2CC" w14:textId="3232343A" w:rsidR="005E3A87" w:rsidRPr="00AC3857" w:rsidRDefault="005E3A87" w:rsidP="00181B0F">
            <w:pPr>
              <w:jc w:val="left"/>
              <w:rPr>
                <w:sz w:val="20"/>
                <w:lang w:val="de-CH" w:eastAsia="de-CH"/>
              </w:rPr>
            </w:pPr>
            <w:r w:rsidRPr="00AC3857">
              <w:rPr>
                <w:sz w:val="20"/>
                <w:lang w:val="de-CH" w:eastAsia="de-CH"/>
              </w:rPr>
              <w:t>5</w:t>
            </w:r>
          </w:p>
        </w:tc>
        <w:tc>
          <w:tcPr>
            <w:tcW w:w="850" w:type="dxa"/>
            <w:vAlign w:val="center"/>
          </w:tcPr>
          <w:p w14:paraId="0DAE8304" w14:textId="132287DD" w:rsidR="005E3A87" w:rsidRPr="00AC3857" w:rsidRDefault="005E3A87" w:rsidP="00181B0F">
            <w:pPr>
              <w:jc w:val="left"/>
              <w:rPr>
                <w:sz w:val="20"/>
                <w:lang w:val="de-CH" w:eastAsia="de-CH"/>
              </w:rPr>
            </w:pPr>
            <w:r w:rsidRPr="00AC3857">
              <w:rPr>
                <w:sz w:val="20"/>
                <w:lang w:val="de-CH" w:eastAsia="de-CH"/>
              </w:rPr>
              <w:t>18</w:t>
            </w:r>
          </w:p>
        </w:tc>
        <w:tc>
          <w:tcPr>
            <w:tcW w:w="850" w:type="dxa"/>
            <w:vAlign w:val="center"/>
          </w:tcPr>
          <w:p w14:paraId="7AE4E9B2" w14:textId="77777777" w:rsidR="005E3A87" w:rsidRPr="00AC3857" w:rsidRDefault="005E3A87" w:rsidP="00181B0F">
            <w:pPr>
              <w:jc w:val="left"/>
              <w:rPr>
                <w:sz w:val="20"/>
                <w:lang w:val="de-CH" w:eastAsia="de-CH"/>
              </w:rPr>
            </w:pPr>
            <w:r w:rsidRPr="00AC3857">
              <w:rPr>
                <w:sz w:val="20"/>
                <w:lang w:val="de-CH" w:eastAsia="de-CH"/>
              </w:rPr>
              <w:t>7.8</w:t>
            </w:r>
          </w:p>
        </w:tc>
        <w:tc>
          <w:tcPr>
            <w:tcW w:w="850" w:type="dxa"/>
            <w:vAlign w:val="center"/>
          </w:tcPr>
          <w:p w14:paraId="2BA55BD7" w14:textId="09AA999E" w:rsidR="005E3A87" w:rsidRPr="00AC3857" w:rsidRDefault="00AA2984" w:rsidP="00181B0F">
            <w:pPr>
              <w:jc w:val="left"/>
              <w:rPr>
                <w:sz w:val="20"/>
                <w:lang w:val="de-CH" w:eastAsia="de-CH"/>
              </w:rPr>
            </w:pPr>
            <w:r>
              <w:rPr>
                <w:sz w:val="20"/>
                <w:lang w:val="de-CH" w:eastAsia="de-CH"/>
              </w:rPr>
              <w:t>67</w:t>
            </w:r>
          </w:p>
        </w:tc>
        <w:tc>
          <w:tcPr>
            <w:tcW w:w="850" w:type="dxa"/>
            <w:vAlign w:val="center"/>
          </w:tcPr>
          <w:p w14:paraId="3AE6492D" w14:textId="22261FF9" w:rsidR="005E3A87" w:rsidRPr="00AC3857" w:rsidRDefault="005E3A87" w:rsidP="00181B0F">
            <w:pPr>
              <w:jc w:val="left"/>
              <w:rPr>
                <w:sz w:val="20"/>
                <w:lang w:val="de-CH" w:eastAsia="de-CH"/>
              </w:rPr>
            </w:pPr>
            <w:r w:rsidRPr="00AC3857">
              <w:rPr>
                <w:sz w:val="20"/>
                <w:lang w:val="de-CH" w:eastAsia="de-CH"/>
              </w:rPr>
              <w:t>&gt;200</w:t>
            </w:r>
          </w:p>
        </w:tc>
      </w:tr>
      <w:tr w:rsidR="005E3A87" w:rsidRPr="00C33696" w14:paraId="671D1D6B" w14:textId="77777777" w:rsidTr="00181B0F">
        <w:tc>
          <w:tcPr>
            <w:tcW w:w="2830" w:type="dxa"/>
            <w:vAlign w:val="center"/>
          </w:tcPr>
          <w:p w14:paraId="11D89EBC" w14:textId="77777777" w:rsidR="005E3A87" w:rsidRPr="00AC3857" w:rsidRDefault="005E3A87" w:rsidP="00181B0F">
            <w:pPr>
              <w:jc w:val="left"/>
              <w:rPr>
                <w:sz w:val="20"/>
                <w:lang w:val="de-CH" w:eastAsia="de-CH"/>
              </w:rPr>
            </w:pPr>
            <w:proofErr w:type="spellStart"/>
            <w:r w:rsidRPr="00AC3857">
              <w:rPr>
                <w:sz w:val="20"/>
                <w:lang w:val="de-CH" w:eastAsia="de-CH"/>
              </w:rPr>
              <w:t>Benzotriazole</w:t>
            </w:r>
            <w:proofErr w:type="spellEnd"/>
          </w:p>
        </w:tc>
        <w:tc>
          <w:tcPr>
            <w:tcW w:w="1276" w:type="dxa"/>
            <w:vAlign w:val="center"/>
          </w:tcPr>
          <w:p w14:paraId="3E4E574E" w14:textId="77777777" w:rsidR="005E3A87" w:rsidRPr="00AC3857" w:rsidRDefault="005E3A87" w:rsidP="00181B0F">
            <w:pPr>
              <w:jc w:val="left"/>
              <w:rPr>
                <w:sz w:val="20"/>
                <w:lang w:val="de-CH" w:eastAsia="de-CH"/>
              </w:rPr>
            </w:pPr>
            <w:r w:rsidRPr="00AC3857">
              <w:rPr>
                <w:sz w:val="20"/>
                <w:lang w:eastAsia="de-CH"/>
              </w:rPr>
              <w:t>Corrosion</w:t>
            </w:r>
            <w:r w:rsidRPr="00AC3857">
              <w:rPr>
                <w:sz w:val="20"/>
                <w:lang w:val="de-CH" w:eastAsia="de-CH"/>
              </w:rPr>
              <w:t xml:space="preserve"> </w:t>
            </w:r>
            <w:proofErr w:type="spellStart"/>
            <w:r w:rsidRPr="00AC3857">
              <w:rPr>
                <w:sz w:val="20"/>
                <w:lang w:val="de-CH" w:eastAsia="de-CH"/>
              </w:rPr>
              <w:t>inhibitor</w:t>
            </w:r>
            <w:proofErr w:type="spellEnd"/>
          </w:p>
        </w:tc>
        <w:tc>
          <w:tcPr>
            <w:tcW w:w="850" w:type="dxa"/>
            <w:vAlign w:val="center"/>
          </w:tcPr>
          <w:p w14:paraId="5E783056" w14:textId="77777777" w:rsidR="005E3A87" w:rsidRPr="00AC3857" w:rsidRDefault="005E3A87" w:rsidP="00181B0F">
            <w:pPr>
              <w:jc w:val="left"/>
              <w:rPr>
                <w:sz w:val="20"/>
                <w:lang w:val="de-CH" w:eastAsia="de-CH"/>
              </w:rPr>
            </w:pPr>
            <w:r w:rsidRPr="00AC3857">
              <w:rPr>
                <w:sz w:val="20"/>
                <w:lang w:val="de-CH" w:eastAsia="de-CH"/>
              </w:rPr>
              <w:t>1.3</w:t>
            </w:r>
          </w:p>
        </w:tc>
        <w:tc>
          <w:tcPr>
            <w:tcW w:w="850" w:type="dxa"/>
            <w:vAlign w:val="center"/>
          </w:tcPr>
          <w:p w14:paraId="23B7D586" w14:textId="4B0A6D56" w:rsidR="005E3A87" w:rsidRPr="00AC3857" w:rsidRDefault="005E3A87" w:rsidP="00181B0F">
            <w:pPr>
              <w:jc w:val="left"/>
              <w:rPr>
                <w:sz w:val="20"/>
                <w:lang w:val="de-CH" w:eastAsia="de-CH"/>
              </w:rPr>
            </w:pPr>
            <w:r w:rsidRPr="00AC3857">
              <w:rPr>
                <w:sz w:val="20"/>
                <w:lang w:val="de-CH" w:eastAsia="de-CH"/>
              </w:rPr>
              <w:t>5</w:t>
            </w:r>
          </w:p>
        </w:tc>
        <w:tc>
          <w:tcPr>
            <w:tcW w:w="850" w:type="dxa"/>
            <w:vAlign w:val="center"/>
          </w:tcPr>
          <w:p w14:paraId="43E34DC0" w14:textId="031DA7B7" w:rsidR="005E3A87" w:rsidRPr="00AC3857" w:rsidRDefault="005E3A87" w:rsidP="00181B0F">
            <w:pPr>
              <w:jc w:val="left"/>
              <w:rPr>
                <w:sz w:val="20"/>
                <w:lang w:val="de-CH" w:eastAsia="de-CH"/>
              </w:rPr>
            </w:pPr>
            <w:r w:rsidRPr="00AC3857">
              <w:rPr>
                <w:sz w:val="20"/>
                <w:lang w:val="de-CH" w:eastAsia="de-CH"/>
              </w:rPr>
              <w:t>13</w:t>
            </w:r>
          </w:p>
        </w:tc>
        <w:tc>
          <w:tcPr>
            <w:tcW w:w="850" w:type="dxa"/>
            <w:vAlign w:val="center"/>
          </w:tcPr>
          <w:p w14:paraId="022A97EB" w14:textId="3A15516E" w:rsidR="005E3A87" w:rsidRPr="00AC3857" w:rsidRDefault="006A59C2" w:rsidP="00181B0F">
            <w:pPr>
              <w:jc w:val="left"/>
              <w:rPr>
                <w:sz w:val="20"/>
                <w:lang w:val="de-CH" w:eastAsia="de-CH"/>
              </w:rPr>
            </w:pPr>
            <w:r>
              <w:rPr>
                <w:sz w:val="20"/>
                <w:lang w:val="de-CH" w:eastAsia="de-CH"/>
              </w:rPr>
              <w:t>-</w:t>
            </w:r>
          </w:p>
        </w:tc>
        <w:tc>
          <w:tcPr>
            <w:tcW w:w="850" w:type="dxa"/>
            <w:vAlign w:val="center"/>
          </w:tcPr>
          <w:p w14:paraId="66061905" w14:textId="639ACB4B" w:rsidR="005E3A87" w:rsidRPr="00AC3857" w:rsidRDefault="005A43F8" w:rsidP="00181B0F">
            <w:pPr>
              <w:jc w:val="left"/>
              <w:rPr>
                <w:sz w:val="20"/>
                <w:lang w:val="de-CH" w:eastAsia="de-CH"/>
              </w:rPr>
            </w:pPr>
            <w:r>
              <w:rPr>
                <w:sz w:val="20"/>
                <w:lang w:val="de-CH" w:eastAsia="de-CH"/>
              </w:rPr>
              <w:t>59</w:t>
            </w:r>
          </w:p>
        </w:tc>
        <w:tc>
          <w:tcPr>
            <w:tcW w:w="850" w:type="dxa"/>
            <w:vAlign w:val="center"/>
          </w:tcPr>
          <w:p w14:paraId="3712CBB1" w14:textId="01C10C6B" w:rsidR="005E3A87" w:rsidRPr="00AC3857" w:rsidRDefault="005E3A87" w:rsidP="00181B0F">
            <w:pPr>
              <w:jc w:val="left"/>
              <w:rPr>
                <w:sz w:val="20"/>
                <w:lang w:val="de-CH" w:eastAsia="de-CH"/>
              </w:rPr>
            </w:pPr>
            <w:r w:rsidRPr="00AC3857">
              <w:rPr>
                <w:sz w:val="20"/>
                <w:lang w:val="de-CH" w:eastAsia="de-CH"/>
              </w:rPr>
              <w:t>210</w:t>
            </w:r>
          </w:p>
        </w:tc>
      </w:tr>
      <w:tr w:rsidR="005E3A87" w:rsidRPr="00C33696" w14:paraId="7D69BD9E" w14:textId="77777777" w:rsidTr="00181B0F">
        <w:tc>
          <w:tcPr>
            <w:tcW w:w="2830" w:type="dxa"/>
            <w:vAlign w:val="center"/>
          </w:tcPr>
          <w:p w14:paraId="62FE73BA" w14:textId="77777777" w:rsidR="005E3A87" w:rsidRPr="00AC3857" w:rsidRDefault="005E3A87" w:rsidP="00181B0F">
            <w:pPr>
              <w:jc w:val="left"/>
              <w:rPr>
                <w:sz w:val="20"/>
                <w:lang w:val="de-CH" w:eastAsia="de-CH"/>
              </w:rPr>
            </w:pPr>
            <w:proofErr w:type="spellStart"/>
            <w:r w:rsidRPr="00AC3857">
              <w:rPr>
                <w:sz w:val="20"/>
                <w:lang w:val="de-CH" w:eastAsia="de-CH"/>
              </w:rPr>
              <w:t>Melamine</w:t>
            </w:r>
            <w:proofErr w:type="spellEnd"/>
          </w:p>
        </w:tc>
        <w:tc>
          <w:tcPr>
            <w:tcW w:w="1276" w:type="dxa"/>
            <w:vAlign w:val="center"/>
          </w:tcPr>
          <w:p w14:paraId="56AA88F3" w14:textId="77777777" w:rsidR="005E3A87" w:rsidRPr="00AC3857" w:rsidRDefault="005E3A87" w:rsidP="00181B0F">
            <w:pPr>
              <w:jc w:val="left"/>
              <w:rPr>
                <w:sz w:val="20"/>
                <w:lang w:val="de-CH" w:eastAsia="de-CH"/>
              </w:rPr>
            </w:pPr>
            <w:r w:rsidRPr="00AC3857">
              <w:rPr>
                <w:sz w:val="20"/>
                <w:lang w:val="de-CH" w:eastAsia="de-CH"/>
              </w:rPr>
              <w:t xml:space="preserve">Industrial </w:t>
            </w:r>
            <w:proofErr w:type="spellStart"/>
            <w:r w:rsidRPr="00AC3857">
              <w:rPr>
                <w:sz w:val="20"/>
                <w:lang w:val="de-CH" w:eastAsia="de-CH"/>
              </w:rPr>
              <w:t>chemical</w:t>
            </w:r>
            <w:proofErr w:type="spellEnd"/>
          </w:p>
        </w:tc>
        <w:tc>
          <w:tcPr>
            <w:tcW w:w="850" w:type="dxa"/>
            <w:vAlign w:val="center"/>
          </w:tcPr>
          <w:p w14:paraId="6754BF12" w14:textId="77777777" w:rsidR="005E3A87" w:rsidRPr="00AC3857" w:rsidRDefault="005E3A87" w:rsidP="00181B0F">
            <w:pPr>
              <w:jc w:val="left"/>
              <w:rPr>
                <w:sz w:val="20"/>
                <w:lang w:val="de-CH" w:eastAsia="de-CH"/>
              </w:rPr>
            </w:pPr>
            <w:r w:rsidRPr="00AC3857">
              <w:rPr>
                <w:sz w:val="20"/>
                <w:lang w:val="de-CH" w:eastAsia="de-CH"/>
              </w:rPr>
              <w:t>-2.0</w:t>
            </w:r>
          </w:p>
        </w:tc>
        <w:tc>
          <w:tcPr>
            <w:tcW w:w="850" w:type="dxa"/>
            <w:vAlign w:val="center"/>
          </w:tcPr>
          <w:p w14:paraId="048D31D4" w14:textId="6A115508" w:rsidR="005E3A87" w:rsidRPr="00AC3857" w:rsidRDefault="005E3A87" w:rsidP="00181B0F">
            <w:pPr>
              <w:jc w:val="left"/>
              <w:rPr>
                <w:sz w:val="20"/>
                <w:lang w:val="de-CH" w:eastAsia="de-CH"/>
              </w:rPr>
            </w:pPr>
            <w:r w:rsidRPr="00AC3857">
              <w:rPr>
                <w:sz w:val="20"/>
                <w:lang w:val="de-CH" w:eastAsia="de-CH"/>
              </w:rPr>
              <w:t>5</w:t>
            </w:r>
          </w:p>
        </w:tc>
        <w:tc>
          <w:tcPr>
            <w:tcW w:w="850" w:type="dxa"/>
            <w:vAlign w:val="center"/>
          </w:tcPr>
          <w:p w14:paraId="39330BDA" w14:textId="5E873871" w:rsidR="005E3A87" w:rsidRPr="00AC3857" w:rsidRDefault="005E3A87" w:rsidP="00181B0F">
            <w:pPr>
              <w:jc w:val="left"/>
              <w:rPr>
                <w:sz w:val="20"/>
                <w:lang w:val="de-CH" w:eastAsia="de-CH"/>
              </w:rPr>
            </w:pPr>
            <w:r w:rsidRPr="00AC3857">
              <w:rPr>
                <w:sz w:val="20"/>
                <w:lang w:val="de-CH" w:eastAsia="de-CH"/>
              </w:rPr>
              <w:t>4</w:t>
            </w:r>
          </w:p>
        </w:tc>
        <w:tc>
          <w:tcPr>
            <w:tcW w:w="850" w:type="dxa"/>
            <w:vAlign w:val="center"/>
          </w:tcPr>
          <w:p w14:paraId="765A7CC3" w14:textId="68BDFE47" w:rsidR="005E3A87" w:rsidRPr="00AC3857" w:rsidRDefault="006A59C2" w:rsidP="00181B0F">
            <w:pPr>
              <w:jc w:val="left"/>
              <w:rPr>
                <w:sz w:val="20"/>
                <w:lang w:val="de-CH" w:eastAsia="de-CH"/>
              </w:rPr>
            </w:pPr>
            <w:r>
              <w:rPr>
                <w:sz w:val="20"/>
                <w:lang w:val="de-CH" w:eastAsia="de-CH"/>
              </w:rPr>
              <w:t>-</w:t>
            </w:r>
          </w:p>
        </w:tc>
        <w:tc>
          <w:tcPr>
            <w:tcW w:w="850" w:type="dxa"/>
            <w:vAlign w:val="center"/>
          </w:tcPr>
          <w:p w14:paraId="38782FC6" w14:textId="6389427A" w:rsidR="005E3A87" w:rsidRPr="00AC3857" w:rsidRDefault="005A43F8" w:rsidP="00181B0F">
            <w:pPr>
              <w:jc w:val="left"/>
              <w:rPr>
                <w:sz w:val="20"/>
                <w:lang w:val="de-CH" w:eastAsia="de-CH"/>
              </w:rPr>
            </w:pPr>
            <w:r>
              <w:rPr>
                <w:sz w:val="20"/>
                <w:lang w:val="de-CH" w:eastAsia="de-CH"/>
              </w:rPr>
              <w:t>32</w:t>
            </w:r>
          </w:p>
        </w:tc>
        <w:tc>
          <w:tcPr>
            <w:tcW w:w="850" w:type="dxa"/>
            <w:vAlign w:val="center"/>
          </w:tcPr>
          <w:p w14:paraId="08714B7D" w14:textId="12FABED8" w:rsidR="005E3A87" w:rsidRPr="00AC3857" w:rsidRDefault="005E3A87" w:rsidP="00181B0F">
            <w:pPr>
              <w:jc w:val="left"/>
              <w:rPr>
                <w:sz w:val="20"/>
                <w:lang w:val="de-CH" w:eastAsia="de-CH"/>
              </w:rPr>
            </w:pPr>
            <w:r w:rsidRPr="00AC3857">
              <w:rPr>
                <w:sz w:val="20"/>
                <w:lang w:val="de-CH" w:eastAsia="de-CH"/>
              </w:rPr>
              <w:t>770</w:t>
            </w:r>
          </w:p>
        </w:tc>
      </w:tr>
      <w:tr w:rsidR="005E3A87" w:rsidRPr="00C33696" w14:paraId="263EB807" w14:textId="77777777" w:rsidTr="00181B0F">
        <w:tc>
          <w:tcPr>
            <w:tcW w:w="2830" w:type="dxa"/>
            <w:shd w:val="clear" w:color="auto" w:fill="auto"/>
            <w:vAlign w:val="center"/>
          </w:tcPr>
          <w:p w14:paraId="5C9C53FA" w14:textId="77777777" w:rsidR="005E3A87" w:rsidRPr="00AC3857" w:rsidRDefault="005E3A87" w:rsidP="00181B0F">
            <w:pPr>
              <w:jc w:val="left"/>
              <w:rPr>
                <w:sz w:val="20"/>
                <w:lang w:val="de-CH" w:eastAsia="de-CH"/>
              </w:rPr>
            </w:pPr>
            <w:proofErr w:type="spellStart"/>
            <w:r w:rsidRPr="00AC3857">
              <w:rPr>
                <w:sz w:val="20"/>
                <w:lang w:val="de-CH" w:eastAsia="de-CH"/>
              </w:rPr>
              <w:t>Diatrizoate</w:t>
            </w:r>
            <w:proofErr w:type="spellEnd"/>
          </w:p>
        </w:tc>
        <w:tc>
          <w:tcPr>
            <w:tcW w:w="1276" w:type="dxa"/>
            <w:shd w:val="clear" w:color="auto" w:fill="auto"/>
            <w:vAlign w:val="center"/>
          </w:tcPr>
          <w:p w14:paraId="744E8824" w14:textId="77777777" w:rsidR="005E3A87" w:rsidRPr="00AC3857" w:rsidRDefault="005E3A87" w:rsidP="00181B0F">
            <w:pPr>
              <w:jc w:val="left"/>
              <w:rPr>
                <w:sz w:val="20"/>
                <w:lang w:val="de-CH" w:eastAsia="de-CH"/>
              </w:rPr>
            </w:pPr>
            <w:proofErr w:type="spellStart"/>
            <w:r w:rsidRPr="00AC3857">
              <w:rPr>
                <w:sz w:val="20"/>
                <w:lang w:val="de-CH" w:eastAsia="de-CH"/>
              </w:rPr>
              <w:t>Pharmaceutical</w:t>
            </w:r>
            <w:proofErr w:type="spellEnd"/>
          </w:p>
        </w:tc>
        <w:tc>
          <w:tcPr>
            <w:tcW w:w="850" w:type="dxa"/>
            <w:vAlign w:val="center"/>
          </w:tcPr>
          <w:p w14:paraId="03C9C39E" w14:textId="77777777" w:rsidR="005E3A87" w:rsidRPr="00AC3857" w:rsidRDefault="005E3A87" w:rsidP="00181B0F">
            <w:pPr>
              <w:jc w:val="left"/>
              <w:rPr>
                <w:sz w:val="20"/>
                <w:lang w:val="de-CH" w:eastAsia="de-CH"/>
              </w:rPr>
            </w:pPr>
            <w:r w:rsidRPr="00AC3857">
              <w:rPr>
                <w:sz w:val="20"/>
                <w:lang w:val="de-CH" w:eastAsia="de-CH"/>
              </w:rPr>
              <w:t>-0.6</w:t>
            </w:r>
          </w:p>
        </w:tc>
        <w:tc>
          <w:tcPr>
            <w:tcW w:w="850" w:type="dxa"/>
            <w:vAlign w:val="center"/>
          </w:tcPr>
          <w:p w14:paraId="72312F2D" w14:textId="04CFD9E6" w:rsidR="005E3A87" w:rsidRPr="00AC3857" w:rsidRDefault="005E3A87" w:rsidP="00181B0F">
            <w:pPr>
              <w:jc w:val="left"/>
              <w:rPr>
                <w:sz w:val="20"/>
                <w:lang w:val="de-CH" w:eastAsia="de-CH"/>
              </w:rPr>
            </w:pPr>
            <w:r w:rsidRPr="00AC3857">
              <w:rPr>
                <w:sz w:val="20"/>
                <w:lang w:val="de-CH" w:eastAsia="de-CH"/>
              </w:rPr>
              <w:t>15</w:t>
            </w:r>
          </w:p>
        </w:tc>
        <w:tc>
          <w:tcPr>
            <w:tcW w:w="850" w:type="dxa"/>
            <w:shd w:val="clear" w:color="auto" w:fill="auto"/>
            <w:vAlign w:val="center"/>
          </w:tcPr>
          <w:p w14:paraId="6E6245A9" w14:textId="37BD3F46" w:rsidR="005E3A87" w:rsidRPr="00AC3857" w:rsidRDefault="005E3A87" w:rsidP="00181B0F">
            <w:pPr>
              <w:jc w:val="left"/>
              <w:rPr>
                <w:sz w:val="20"/>
                <w:lang w:val="de-CH" w:eastAsia="de-CH"/>
              </w:rPr>
            </w:pPr>
            <w:r w:rsidRPr="00AC3857">
              <w:rPr>
                <w:sz w:val="20"/>
                <w:lang w:val="de-CH" w:eastAsia="de-CH"/>
              </w:rPr>
              <w:t>4</w:t>
            </w:r>
          </w:p>
        </w:tc>
        <w:tc>
          <w:tcPr>
            <w:tcW w:w="850" w:type="dxa"/>
            <w:vAlign w:val="center"/>
          </w:tcPr>
          <w:p w14:paraId="4B174640" w14:textId="4BAC8387" w:rsidR="005E3A87" w:rsidRPr="00AC3857" w:rsidRDefault="006A59C2" w:rsidP="00181B0F">
            <w:pPr>
              <w:jc w:val="left"/>
              <w:rPr>
                <w:sz w:val="20"/>
                <w:lang w:val="de-CH" w:eastAsia="de-CH"/>
              </w:rPr>
            </w:pPr>
            <w:r>
              <w:rPr>
                <w:sz w:val="20"/>
                <w:lang w:val="de-CH" w:eastAsia="de-CH"/>
              </w:rPr>
              <w:t>-</w:t>
            </w:r>
          </w:p>
        </w:tc>
        <w:tc>
          <w:tcPr>
            <w:tcW w:w="850" w:type="dxa"/>
            <w:vAlign w:val="center"/>
          </w:tcPr>
          <w:p w14:paraId="68D28D1C" w14:textId="603A6D5B" w:rsidR="005E3A87" w:rsidRPr="00AC3857" w:rsidRDefault="005A43F8" w:rsidP="00181B0F">
            <w:pPr>
              <w:jc w:val="left"/>
              <w:rPr>
                <w:sz w:val="20"/>
                <w:lang w:val="de-CH" w:eastAsia="de-CH"/>
              </w:rPr>
            </w:pPr>
            <w:r>
              <w:rPr>
                <w:sz w:val="20"/>
                <w:lang w:val="de-CH" w:eastAsia="de-CH"/>
              </w:rPr>
              <w:t>64</w:t>
            </w:r>
          </w:p>
        </w:tc>
        <w:tc>
          <w:tcPr>
            <w:tcW w:w="850" w:type="dxa"/>
            <w:shd w:val="clear" w:color="auto" w:fill="auto"/>
            <w:vAlign w:val="center"/>
          </w:tcPr>
          <w:p w14:paraId="56EEE7C8" w14:textId="75CD8775" w:rsidR="005E3A87" w:rsidRPr="00AC3857" w:rsidRDefault="005E3A87" w:rsidP="00181B0F">
            <w:pPr>
              <w:jc w:val="left"/>
              <w:rPr>
                <w:sz w:val="20"/>
                <w:lang w:val="de-CH" w:eastAsia="de-CH"/>
              </w:rPr>
            </w:pPr>
            <w:r w:rsidRPr="00AC3857">
              <w:rPr>
                <w:sz w:val="20"/>
                <w:lang w:val="de-CH" w:eastAsia="de-CH"/>
              </w:rPr>
              <w:t>340</w:t>
            </w:r>
          </w:p>
        </w:tc>
      </w:tr>
      <w:tr w:rsidR="005E3A87" w:rsidRPr="004C2739" w14:paraId="08979A71" w14:textId="77777777" w:rsidTr="00181B0F">
        <w:tc>
          <w:tcPr>
            <w:tcW w:w="2830" w:type="dxa"/>
            <w:shd w:val="clear" w:color="auto" w:fill="auto"/>
            <w:vAlign w:val="center"/>
          </w:tcPr>
          <w:p w14:paraId="4F26AC40" w14:textId="77777777" w:rsidR="005E3A87" w:rsidRPr="00AC3857" w:rsidRDefault="005E3A87" w:rsidP="00181B0F">
            <w:pPr>
              <w:jc w:val="left"/>
              <w:rPr>
                <w:sz w:val="20"/>
                <w:lang w:eastAsia="de-CH"/>
              </w:rPr>
            </w:pPr>
            <w:proofErr w:type="spellStart"/>
            <w:r w:rsidRPr="00AC3857">
              <w:rPr>
                <w:sz w:val="20"/>
                <w:lang w:eastAsia="de-CH"/>
              </w:rPr>
              <w:t>Acesulfame</w:t>
            </w:r>
            <w:proofErr w:type="spellEnd"/>
          </w:p>
        </w:tc>
        <w:tc>
          <w:tcPr>
            <w:tcW w:w="1276" w:type="dxa"/>
            <w:shd w:val="clear" w:color="auto" w:fill="auto"/>
            <w:vAlign w:val="center"/>
          </w:tcPr>
          <w:p w14:paraId="19AAE693" w14:textId="77777777" w:rsidR="005E3A87" w:rsidRPr="00AC3857" w:rsidRDefault="005E3A87" w:rsidP="00181B0F">
            <w:pPr>
              <w:jc w:val="left"/>
              <w:rPr>
                <w:sz w:val="20"/>
                <w:lang w:eastAsia="de-CH"/>
              </w:rPr>
            </w:pPr>
            <w:r w:rsidRPr="00AC3857">
              <w:rPr>
                <w:sz w:val="20"/>
                <w:lang w:eastAsia="de-CH"/>
              </w:rPr>
              <w:t>Sweetener</w:t>
            </w:r>
          </w:p>
        </w:tc>
        <w:tc>
          <w:tcPr>
            <w:tcW w:w="850" w:type="dxa"/>
            <w:vAlign w:val="center"/>
          </w:tcPr>
          <w:p w14:paraId="4C5C4847" w14:textId="77777777" w:rsidR="005E3A87" w:rsidRPr="00AC3857" w:rsidRDefault="005E3A87" w:rsidP="00181B0F">
            <w:pPr>
              <w:jc w:val="left"/>
              <w:rPr>
                <w:sz w:val="20"/>
                <w:lang w:eastAsia="de-CH"/>
              </w:rPr>
            </w:pPr>
            <w:r w:rsidRPr="00AC3857">
              <w:rPr>
                <w:sz w:val="20"/>
                <w:lang w:eastAsia="de-CH"/>
              </w:rPr>
              <w:t>-1.5</w:t>
            </w:r>
          </w:p>
        </w:tc>
        <w:tc>
          <w:tcPr>
            <w:tcW w:w="850" w:type="dxa"/>
            <w:vAlign w:val="center"/>
          </w:tcPr>
          <w:p w14:paraId="68460661" w14:textId="2C4E69C2" w:rsidR="005E3A87" w:rsidRPr="00AC3857" w:rsidRDefault="005E3A87" w:rsidP="00181B0F">
            <w:pPr>
              <w:jc w:val="left"/>
              <w:rPr>
                <w:sz w:val="20"/>
                <w:lang w:eastAsia="de-CH"/>
              </w:rPr>
            </w:pPr>
            <w:r w:rsidRPr="00AC3857">
              <w:rPr>
                <w:sz w:val="20"/>
                <w:lang w:eastAsia="de-CH"/>
              </w:rPr>
              <w:t>0.5</w:t>
            </w:r>
          </w:p>
        </w:tc>
        <w:tc>
          <w:tcPr>
            <w:tcW w:w="850" w:type="dxa"/>
            <w:shd w:val="clear" w:color="auto" w:fill="auto"/>
            <w:vAlign w:val="center"/>
          </w:tcPr>
          <w:p w14:paraId="0B4DB273" w14:textId="63EBCDE0" w:rsidR="005E3A87" w:rsidRPr="00AC3857" w:rsidRDefault="005E3A87" w:rsidP="00181B0F">
            <w:pPr>
              <w:jc w:val="left"/>
              <w:rPr>
                <w:sz w:val="20"/>
                <w:lang w:eastAsia="de-CH"/>
              </w:rPr>
            </w:pPr>
            <w:r w:rsidRPr="00AC3857">
              <w:rPr>
                <w:sz w:val="20"/>
                <w:lang w:eastAsia="de-CH"/>
              </w:rPr>
              <w:t>26</w:t>
            </w:r>
          </w:p>
        </w:tc>
        <w:tc>
          <w:tcPr>
            <w:tcW w:w="850" w:type="dxa"/>
            <w:vAlign w:val="center"/>
          </w:tcPr>
          <w:p w14:paraId="3EC39369" w14:textId="77777777" w:rsidR="005E3A87" w:rsidRPr="00AC3857" w:rsidRDefault="005E3A87" w:rsidP="00181B0F">
            <w:pPr>
              <w:jc w:val="left"/>
              <w:rPr>
                <w:sz w:val="20"/>
                <w:lang w:eastAsia="de-CH"/>
              </w:rPr>
            </w:pPr>
            <w:r w:rsidRPr="00AC3857">
              <w:rPr>
                <w:sz w:val="20"/>
                <w:lang w:eastAsia="de-CH"/>
              </w:rPr>
              <w:t>37</w:t>
            </w:r>
          </w:p>
        </w:tc>
        <w:tc>
          <w:tcPr>
            <w:tcW w:w="850" w:type="dxa"/>
            <w:vAlign w:val="center"/>
          </w:tcPr>
          <w:p w14:paraId="6F10A07A" w14:textId="57774437" w:rsidR="005E3A87" w:rsidRPr="00AC3857" w:rsidRDefault="005A43F8" w:rsidP="00181B0F">
            <w:pPr>
              <w:jc w:val="left"/>
              <w:rPr>
                <w:sz w:val="20"/>
                <w:lang w:eastAsia="de-CH"/>
              </w:rPr>
            </w:pPr>
            <w:r>
              <w:rPr>
                <w:sz w:val="20"/>
                <w:lang w:eastAsia="de-CH"/>
              </w:rPr>
              <w:t>120</w:t>
            </w:r>
          </w:p>
        </w:tc>
        <w:tc>
          <w:tcPr>
            <w:tcW w:w="850" w:type="dxa"/>
            <w:shd w:val="clear" w:color="auto" w:fill="auto"/>
            <w:vAlign w:val="center"/>
          </w:tcPr>
          <w:p w14:paraId="6FFAEE5F" w14:textId="707C63E1" w:rsidR="005E3A87" w:rsidRPr="00AC3857" w:rsidRDefault="005E3A87" w:rsidP="00181B0F">
            <w:pPr>
              <w:jc w:val="left"/>
              <w:rPr>
                <w:sz w:val="20"/>
                <w:lang w:eastAsia="de-CH"/>
              </w:rPr>
            </w:pPr>
            <w:r w:rsidRPr="00AC3857">
              <w:rPr>
                <w:sz w:val="20"/>
                <w:lang w:eastAsia="de-CH"/>
              </w:rPr>
              <w:t>260</w:t>
            </w:r>
          </w:p>
        </w:tc>
      </w:tr>
      <w:tr w:rsidR="005E3A87" w:rsidRPr="00C33696" w14:paraId="079284B1" w14:textId="77777777" w:rsidTr="00181B0F">
        <w:tc>
          <w:tcPr>
            <w:tcW w:w="2830" w:type="dxa"/>
            <w:shd w:val="clear" w:color="auto" w:fill="auto"/>
            <w:vAlign w:val="center"/>
          </w:tcPr>
          <w:p w14:paraId="3B0C9221" w14:textId="77777777" w:rsidR="005E3A87" w:rsidRPr="00AC3857" w:rsidRDefault="005E3A87" w:rsidP="00181B0F">
            <w:pPr>
              <w:jc w:val="left"/>
              <w:rPr>
                <w:sz w:val="20"/>
                <w:lang w:val="de-CH" w:eastAsia="de-CH"/>
              </w:rPr>
            </w:pPr>
            <w:proofErr w:type="spellStart"/>
            <w:r w:rsidRPr="00AC3857">
              <w:rPr>
                <w:sz w:val="20"/>
                <w:lang w:val="de-CH" w:eastAsia="de-CH"/>
              </w:rPr>
              <w:t>Sucralose</w:t>
            </w:r>
            <w:proofErr w:type="spellEnd"/>
          </w:p>
        </w:tc>
        <w:tc>
          <w:tcPr>
            <w:tcW w:w="1276" w:type="dxa"/>
            <w:shd w:val="clear" w:color="auto" w:fill="auto"/>
            <w:vAlign w:val="center"/>
          </w:tcPr>
          <w:p w14:paraId="6C4ED4DA" w14:textId="77777777" w:rsidR="005E3A87" w:rsidRPr="00AC3857" w:rsidRDefault="005E3A87" w:rsidP="00181B0F">
            <w:pPr>
              <w:jc w:val="left"/>
              <w:rPr>
                <w:sz w:val="20"/>
                <w:lang w:val="de-CH" w:eastAsia="de-CH"/>
              </w:rPr>
            </w:pPr>
            <w:proofErr w:type="spellStart"/>
            <w:r w:rsidRPr="00AC3857">
              <w:rPr>
                <w:sz w:val="20"/>
                <w:lang w:val="de-CH" w:eastAsia="de-CH"/>
              </w:rPr>
              <w:t>Sweetener</w:t>
            </w:r>
            <w:proofErr w:type="spellEnd"/>
          </w:p>
        </w:tc>
        <w:tc>
          <w:tcPr>
            <w:tcW w:w="850" w:type="dxa"/>
            <w:vAlign w:val="center"/>
          </w:tcPr>
          <w:p w14:paraId="2748995F" w14:textId="77777777" w:rsidR="005E3A87" w:rsidRPr="00AC3857" w:rsidRDefault="005E3A87" w:rsidP="00181B0F">
            <w:pPr>
              <w:jc w:val="left"/>
              <w:rPr>
                <w:sz w:val="20"/>
                <w:lang w:val="de-CH" w:eastAsia="de-CH"/>
              </w:rPr>
            </w:pPr>
            <w:r w:rsidRPr="00AC3857">
              <w:rPr>
                <w:sz w:val="20"/>
                <w:lang w:val="de-CH" w:eastAsia="de-CH"/>
              </w:rPr>
              <w:t>-0.5</w:t>
            </w:r>
          </w:p>
        </w:tc>
        <w:tc>
          <w:tcPr>
            <w:tcW w:w="850" w:type="dxa"/>
            <w:vAlign w:val="center"/>
          </w:tcPr>
          <w:p w14:paraId="13A6F534" w14:textId="33914335" w:rsidR="005E3A87" w:rsidRPr="00AC3857" w:rsidRDefault="005E3A87" w:rsidP="00181B0F">
            <w:pPr>
              <w:jc w:val="left"/>
              <w:rPr>
                <w:sz w:val="20"/>
                <w:lang w:val="de-CH" w:eastAsia="de-CH"/>
              </w:rPr>
            </w:pPr>
            <w:r w:rsidRPr="00AC3857">
              <w:rPr>
                <w:sz w:val="20"/>
                <w:lang w:val="de-CH" w:eastAsia="de-CH"/>
              </w:rPr>
              <w:t>10</w:t>
            </w:r>
          </w:p>
        </w:tc>
        <w:tc>
          <w:tcPr>
            <w:tcW w:w="850" w:type="dxa"/>
            <w:shd w:val="clear" w:color="auto" w:fill="auto"/>
            <w:vAlign w:val="center"/>
          </w:tcPr>
          <w:p w14:paraId="273093D3" w14:textId="616FA8AE" w:rsidR="005E3A87" w:rsidRPr="00AC3857" w:rsidRDefault="005E3A87" w:rsidP="00181B0F">
            <w:pPr>
              <w:jc w:val="left"/>
              <w:rPr>
                <w:sz w:val="20"/>
                <w:lang w:val="de-CH" w:eastAsia="de-CH"/>
              </w:rPr>
            </w:pPr>
            <w:r w:rsidRPr="00AC3857">
              <w:rPr>
                <w:sz w:val="20"/>
                <w:lang w:val="de-CH" w:eastAsia="de-CH"/>
              </w:rPr>
              <w:t>7</w:t>
            </w:r>
          </w:p>
        </w:tc>
        <w:tc>
          <w:tcPr>
            <w:tcW w:w="850" w:type="dxa"/>
            <w:vAlign w:val="center"/>
          </w:tcPr>
          <w:p w14:paraId="0DA3D5FB" w14:textId="7147DE29" w:rsidR="005E3A87" w:rsidRPr="00AC3857" w:rsidRDefault="006A59C2" w:rsidP="00181B0F">
            <w:pPr>
              <w:jc w:val="left"/>
              <w:rPr>
                <w:sz w:val="20"/>
                <w:lang w:val="de-CH" w:eastAsia="de-CH"/>
              </w:rPr>
            </w:pPr>
            <w:r>
              <w:rPr>
                <w:sz w:val="20"/>
                <w:lang w:val="de-CH" w:eastAsia="de-CH"/>
              </w:rPr>
              <w:t>-</w:t>
            </w:r>
          </w:p>
        </w:tc>
        <w:tc>
          <w:tcPr>
            <w:tcW w:w="850" w:type="dxa"/>
            <w:vAlign w:val="center"/>
          </w:tcPr>
          <w:p w14:paraId="72D4C003" w14:textId="072AB8A9" w:rsidR="005E3A87" w:rsidRDefault="005A43F8" w:rsidP="00181B0F">
            <w:pPr>
              <w:jc w:val="left"/>
              <w:rPr>
                <w:sz w:val="20"/>
                <w:lang w:val="de-CH" w:eastAsia="de-CH"/>
              </w:rPr>
            </w:pPr>
            <w:r>
              <w:rPr>
                <w:sz w:val="20"/>
                <w:lang w:val="de-CH" w:eastAsia="de-CH"/>
              </w:rPr>
              <w:t>93</w:t>
            </w:r>
          </w:p>
        </w:tc>
        <w:tc>
          <w:tcPr>
            <w:tcW w:w="850" w:type="dxa"/>
            <w:shd w:val="clear" w:color="auto" w:fill="auto"/>
            <w:vAlign w:val="center"/>
          </w:tcPr>
          <w:p w14:paraId="6154A6DE" w14:textId="6BE95E54" w:rsidR="005E3A87" w:rsidRPr="00AC3857" w:rsidRDefault="005E3A87" w:rsidP="00181B0F">
            <w:pPr>
              <w:jc w:val="left"/>
              <w:rPr>
                <w:sz w:val="20"/>
                <w:lang w:val="de-CH" w:eastAsia="de-CH"/>
              </w:rPr>
            </w:pPr>
            <w:r>
              <w:rPr>
                <w:sz w:val="20"/>
                <w:lang w:val="de-CH" w:eastAsia="de-CH"/>
              </w:rPr>
              <w:t>52</w:t>
            </w:r>
            <w:r w:rsidRPr="00AC3857">
              <w:rPr>
                <w:sz w:val="20"/>
                <w:lang w:val="de-CH" w:eastAsia="de-CH"/>
              </w:rPr>
              <w:t>0</w:t>
            </w:r>
          </w:p>
        </w:tc>
      </w:tr>
    </w:tbl>
    <w:p w14:paraId="6F9AC046" w14:textId="53FDEDCD" w:rsidR="00284F80" w:rsidRPr="00AC3857" w:rsidRDefault="00284F80" w:rsidP="00284F80">
      <w:pPr>
        <w:rPr>
          <w:sz w:val="20"/>
        </w:rPr>
      </w:pPr>
      <w:r w:rsidRPr="00AC3857">
        <w:rPr>
          <w:sz w:val="20"/>
        </w:rPr>
        <w:t xml:space="preserve">* </w:t>
      </w:r>
      <w:proofErr w:type="spellStart"/>
      <w:r w:rsidRPr="00AC3857">
        <w:rPr>
          <w:sz w:val="20"/>
        </w:rPr>
        <w:t>Metolachlor</w:t>
      </w:r>
      <w:proofErr w:type="spellEnd"/>
      <w:r w:rsidRPr="00AC3857">
        <w:rPr>
          <w:sz w:val="20"/>
        </w:rPr>
        <w:t>-ESA could only be analysed in 1</w:t>
      </w:r>
      <w:r w:rsidR="00525B08">
        <w:rPr>
          <w:sz w:val="20"/>
        </w:rPr>
        <w:t>3</w:t>
      </w:r>
      <w:r w:rsidRPr="00AC3857">
        <w:rPr>
          <w:sz w:val="20"/>
        </w:rPr>
        <w:t xml:space="preserve"> samples due to shifting RT.</w:t>
      </w:r>
    </w:p>
    <w:p w14:paraId="25FC4E11" w14:textId="5B4B96ED" w:rsidR="00E9528F" w:rsidRDefault="00E9528F" w:rsidP="00E9528F"/>
    <w:p w14:paraId="7DE9D723" w14:textId="77777777" w:rsidR="00E9528F" w:rsidRPr="00E9528F" w:rsidRDefault="00E9528F" w:rsidP="00E952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556F6" w14:paraId="01BDA029" w14:textId="77777777" w:rsidTr="00C556F6">
        <w:tc>
          <w:tcPr>
            <w:tcW w:w="4606" w:type="dxa"/>
          </w:tcPr>
          <w:p w14:paraId="4AA381A0" w14:textId="77777777" w:rsidR="00C556F6" w:rsidRDefault="00403C95" w:rsidP="00622B98">
            <w:pPr>
              <w:pStyle w:val="Caption"/>
            </w:pPr>
            <w:r>
              <w:rPr>
                <w:noProof/>
                <w:lang w:val="de-CH" w:eastAsia="de-CH"/>
              </w:rPr>
              <w:lastRenderedPageBreak/>
              <mc:AlternateContent>
                <mc:Choice Requires="wps">
                  <w:drawing>
                    <wp:anchor distT="0" distB="0" distL="114300" distR="114300" simplePos="0" relativeHeight="251661312" behindDoc="0" locked="0" layoutInCell="1" allowOverlap="1" wp14:anchorId="12878C47" wp14:editId="751D4AB8">
                      <wp:simplePos x="0" y="0"/>
                      <wp:positionH relativeFrom="column">
                        <wp:posOffset>-66294</wp:posOffset>
                      </wp:positionH>
                      <wp:positionV relativeFrom="paragraph">
                        <wp:posOffset>-127</wp:posOffset>
                      </wp:positionV>
                      <wp:extent cx="416966" cy="299923"/>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416966" cy="2999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E10FA" w14:textId="77777777" w:rsidR="005E3A87" w:rsidRPr="00403C95" w:rsidRDefault="005E3A87">
                                  <w:pPr>
                                    <w:rPr>
                                      <w:lang w:val="de-CH"/>
                                    </w:rPr>
                                  </w:pPr>
                                  <w:r>
                                    <w:rPr>
                                      <w:lang w:val="de-CH"/>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8C47" id="Text Box 12" o:spid="_x0000_s1030" type="#_x0000_t202" style="position:absolute;left:0;text-align:left;margin-left:-5.2pt;margin-top:0;width:32.8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" filled="f" stroked="f" strokeweight=".5pt">
                      <v:textbox>
                        <w:txbxContent>
                          <w:p w14:paraId="012E10FA" w14:textId="77777777" w:rsidR="005E3A87" w:rsidRPr="00403C95" w:rsidRDefault="005E3A87">
                            <w:pPr>
                              <w:rPr>
                                <w:lang w:val="de-CH"/>
                              </w:rPr>
                            </w:pPr>
                            <w:r>
                              <w:rPr>
                                <w:lang w:val="de-CH"/>
                              </w:rPr>
                              <w:t>a</w:t>
                            </w:r>
                          </w:p>
                        </w:txbxContent>
                      </v:textbox>
                    </v:shape>
                  </w:pict>
                </mc:Fallback>
              </mc:AlternateContent>
            </w:r>
            <w:r w:rsidR="00C556F6">
              <w:rPr>
                <w:noProof/>
                <w:lang w:val="de-CH" w:eastAsia="de-CH"/>
              </w:rPr>
              <w:drawing>
                <wp:inline distT="0" distB="0" distL="0" distR="0" wp14:anchorId="7FC86741" wp14:editId="2816F24B">
                  <wp:extent cx="2736000" cy="21276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_Rej_Suspects_PeakArea.png"/>
                          <pic:cNvPicPr/>
                        </pic:nvPicPr>
                        <pic:blipFill>
                          <a:blip r:embed="rId16">
                            <a:extLst>
                              <a:ext uri="{28A0092B-C50C-407E-A947-70E740481C1C}">
                                <a14:useLocalDpi xmlns:a14="http://schemas.microsoft.com/office/drawing/2010/main" val="0"/>
                              </a:ext>
                            </a:extLst>
                          </a:blip>
                          <a:stretch>
                            <a:fillRect/>
                          </a:stretch>
                        </pic:blipFill>
                        <pic:spPr bwMode="auto">
                          <a:xfrm>
                            <a:off x="0" y="0"/>
                            <a:ext cx="2736000" cy="2127607"/>
                          </a:xfrm>
                          <a:prstGeom prst="rect">
                            <a:avLst/>
                          </a:prstGeom>
                          <a:ln>
                            <a:noFill/>
                          </a:ln>
                          <a:extLst>
                            <a:ext uri="{53640926-AAD7-44D8-BBD7-CCE9431645EC}">
                              <a14:shadowObscured xmlns:a14="http://schemas.microsoft.com/office/drawing/2010/main"/>
                            </a:ext>
                          </a:extLst>
                        </pic:spPr>
                      </pic:pic>
                    </a:graphicData>
                  </a:graphic>
                </wp:inline>
              </w:drawing>
            </w:r>
          </w:p>
        </w:tc>
        <w:tc>
          <w:tcPr>
            <w:tcW w:w="4606" w:type="dxa"/>
          </w:tcPr>
          <w:p w14:paraId="7DB0C68A" w14:textId="77777777" w:rsidR="00C556F6" w:rsidRDefault="00403C95" w:rsidP="00622B98">
            <w:pPr>
              <w:pStyle w:val="Caption"/>
            </w:pPr>
            <w:r>
              <w:rPr>
                <w:noProof/>
                <w:lang w:val="de-CH" w:eastAsia="de-CH"/>
              </w:rPr>
              <mc:AlternateContent>
                <mc:Choice Requires="wps">
                  <w:drawing>
                    <wp:anchor distT="0" distB="0" distL="114300" distR="114300" simplePos="0" relativeHeight="251662336" behindDoc="0" locked="0" layoutInCell="1" allowOverlap="1" wp14:anchorId="75FD135B" wp14:editId="08DC894A">
                      <wp:simplePos x="0" y="0"/>
                      <wp:positionH relativeFrom="column">
                        <wp:posOffset>-69215</wp:posOffset>
                      </wp:positionH>
                      <wp:positionV relativeFrom="paragraph">
                        <wp:posOffset>-2235</wp:posOffset>
                      </wp:positionV>
                      <wp:extent cx="292608" cy="24851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2608" cy="2485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4BB96" w14:textId="77777777" w:rsidR="005E3A87" w:rsidRPr="00403C95" w:rsidRDefault="005E3A87">
                                  <w:pPr>
                                    <w:rPr>
                                      <w:lang w:val="de-CH"/>
                                    </w:rPr>
                                  </w:pPr>
                                  <w:r>
                                    <w:rPr>
                                      <w:lang w:val="de-CH"/>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FD135B" id="Text Box 13" o:spid="_x0000_s1031" type="#_x0000_t202" style="position:absolute;left:0;text-align:left;margin-left:-5.45pt;margin-top:-.2pt;width:23.05pt;height:19.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" filled="f" stroked="f" strokeweight=".5pt">
                      <v:textbox>
                        <w:txbxContent>
                          <w:p w14:paraId="4BC4BB96" w14:textId="77777777" w:rsidR="005E3A87" w:rsidRPr="00403C95" w:rsidRDefault="005E3A87">
                            <w:pPr>
                              <w:rPr>
                                <w:lang w:val="de-CH"/>
                              </w:rPr>
                            </w:pPr>
                            <w:r>
                              <w:rPr>
                                <w:lang w:val="de-CH"/>
                              </w:rPr>
                              <w:t>b</w:t>
                            </w:r>
                          </w:p>
                        </w:txbxContent>
                      </v:textbox>
                    </v:shape>
                  </w:pict>
                </mc:Fallback>
              </mc:AlternateContent>
            </w:r>
            <w:r w:rsidR="00C556F6">
              <w:rPr>
                <w:noProof/>
                <w:lang w:val="de-CH" w:eastAsia="de-CH"/>
              </w:rPr>
              <w:drawing>
                <wp:inline distT="0" distB="0" distL="0" distR="0" wp14:anchorId="0F8B9FD9" wp14:editId="398F658C">
                  <wp:extent cx="2736000" cy="21276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_Rej_Suspects_PercExplPeaks.png"/>
                          <pic:cNvPicPr/>
                        </pic:nvPicPr>
                        <pic:blipFill>
                          <a:blip r:embed="rId17">
                            <a:extLst>
                              <a:ext uri="{28A0092B-C50C-407E-A947-70E740481C1C}">
                                <a14:useLocalDpi xmlns:a14="http://schemas.microsoft.com/office/drawing/2010/main" val="0"/>
                              </a:ext>
                            </a:extLst>
                          </a:blip>
                          <a:stretch>
                            <a:fillRect/>
                          </a:stretch>
                        </pic:blipFill>
                        <pic:spPr bwMode="auto">
                          <a:xfrm>
                            <a:off x="0" y="0"/>
                            <a:ext cx="2736000" cy="2127607"/>
                          </a:xfrm>
                          <a:prstGeom prst="rect">
                            <a:avLst/>
                          </a:prstGeom>
                          <a:ln>
                            <a:noFill/>
                          </a:ln>
                          <a:extLst>
                            <a:ext uri="{53640926-AAD7-44D8-BBD7-CCE9431645EC}">
                              <a14:shadowObscured xmlns:a14="http://schemas.microsoft.com/office/drawing/2010/main"/>
                            </a:ext>
                          </a:extLst>
                        </pic:spPr>
                      </pic:pic>
                    </a:graphicData>
                  </a:graphic>
                </wp:inline>
              </w:drawing>
            </w:r>
          </w:p>
        </w:tc>
      </w:tr>
      <w:tr w:rsidR="00C556F6" w14:paraId="7A56A290" w14:textId="77777777" w:rsidTr="00C556F6">
        <w:tc>
          <w:tcPr>
            <w:tcW w:w="9212" w:type="dxa"/>
            <w:gridSpan w:val="2"/>
            <w:vAlign w:val="center"/>
          </w:tcPr>
          <w:p w14:paraId="62B5FA77" w14:textId="77777777" w:rsidR="00C556F6" w:rsidRDefault="00403C95" w:rsidP="00BB0D03">
            <w:pPr>
              <w:pStyle w:val="Caption"/>
              <w:jc w:val="center"/>
            </w:pPr>
            <w:r>
              <w:rPr>
                <w:noProof/>
                <w:lang w:val="de-CH" w:eastAsia="de-CH"/>
              </w:rPr>
              <mc:AlternateContent>
                <mc:Choice Requires="wps">
                  <w:drawing>
                    <wp:anchor distT="0" distB="0" distL="114300" distR="114300" simplePos="0" relativeHeight="251663360" behindDoc="0" locked="0" layoutInCell="1" allowOverlap="1" wp14:anchorId="1966080F" wp14:editId="7A4FD514">
                      <wp:simplePos x="0" y="0"/>
                      <wp:positionH relativeFrom="column">
                        <wp:posOffset>-41275</wp:posOffset>
                      </wp:positionH>
                      <wp:positionV relativeFrom="paragraph">
                        <wp:posOffset>9525</wp:posOffset>
                      </wp:positionV>
                      <wp:extent cx="401955" cy="2559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01955" cy="255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D1B76" w14:textId="77777777" w:rsidR="005E3A87" w:rsidRPr="00403C95" w:rsidRDefault="005E3A87">
                                  <w:pPr>
                                    <w:rPr>
                                      <w:lang w:val="de-CH"/>
                                    </w:rPr>
                                  </w:pPr>
                                  <w:r>
                                    <w:rPr>
                                      <w:lang w:val="de-CH"/>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6080F" id="Text Box 14" o:spid="_x0000_s1032" type="#_x0000_t202" style="position:absolute;left:0;text-align:left;margin-left:-3.25pt;margin-top:.75pt;width:31.6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" filled="f" stroked="f" strokeweight=".5pt">
                      <v:textbox>
                        <w:txbxContent>
                          <w:p w14:paraId="76CD1B76" w14:textId="77777777" w:rsidR="005E3A87" w:rsidRPr="00403C95" w:rsidRDefault="005E3A87">
                            <w:pPr>
                              <w:rPr>
                                <w:lang w:val="de-CH"/>
                              </w:rPr>
                            </w:pPr>
                            <w:r>
                              <w:rPr>
                                <w:lang w:val="de-CH"/>
                              </w:rPr>
                              <w:t>c</w:t>
                            </w:r>
                          </w:p>
                        </w:txbxContent>
                      </v:textbox>
                    </v:shape>
                  </w:pict>
                </mc:Fallback>
              </mc:AlternateContent>
            </w:r>
            <w:r w:rsidR="00C556F6">
              <w:rPr>
                <w:noProof/>
                <w:lang w:val="de-CH" w:eastAsia="de-CH"/>
              </w:rPr>
              <w:drawing>
                <wp:inline distT="0" distB="0" distL="0" distR="0" wp14:anchorId="63AE51DB" wp14:editId="633720DF">
                  <wp:extent cx="3347999" cy="26775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_Rej_Suspects_salesBarplot.png"/>
                          <pic:cNvPicPr/>
                        </pic:nvPicPr>
                        <pic:blipFill>
                          <a:blip r:embed="rId18">
                            <a:extLst>
                              <a:ext uri="{28A0092B-C50C-407E-A947-70E740481C1C}">
                                <a14:useLocalDpi xmlns:a14="http://schemas.microsoft.com/office/drawing/2010/main" val="0"/>
                              </a:ext>
                            </a:extLst>
                          </a:blip>
                          <a:stretch>
                            <a:fillRect/>
                          </a:stretch>
                        </pic:blipFill>
                        <pic:spPr bwMode="auto">
                          <a:xfrm>
                            <a:off x="0" y="0"/>
                            <a:ext cx="3347999" cy="2677530"/>
                          </a:xfrm>
                          <a:prstGeom prst="rect">
                            <a:avLst/>
                          </a:prstGeom>
                          <a:ln>
                            <a:noFill/>
                          </a:ln>
                          <a:extLst>
                            <a:ext uri="{53640926-AAD7-44D8-BBD7-CCE9431645EC}">
                              <a14:shadowObscured xmlns:a14="http://schemas.microsoft.com/office/drawing/2010/main"/>
                            </a:ext>
                          </a:extLst>
                        </pic:spPr>
                      </pic:pic>
                    </a:graphicData>
                  </a:graphic>
                </wp:inline>
              </w:drawing>
            </w:r>
          </w:p>
        </w:tc>
      </w:tr>
      <w:tr w:rsidR="00C556F6" w14:paraId="093AD807" w14:textId="77777777" w:rsidTr="00C556F6">
        <w:tc>
          <w:tcPr>
            <w:tcW w:w="9212" w:type="dxa"/>
            <w:gridSpan w:val="2"/>
          </w:tcPr>
          <w:p w14:paraId="68A75E67" w14:textId="3E0B63D5" w:rsidR="002238D2" w:rsidRDefault="002238D2" w:rsidP="00622B98">
            <w:pPr>
              <w:pStyle w:val="Caption"/>
            </w:pPr>
            <w:r>
              <w:t xml:space="preserve">Figure SI-A </w:t>
            </w:r>
            <w:r>
              <w:fldChar w:fldCharType="begin"/>
            </w:r>
            <w:r>
              <w:instrText xml:space="preserve"> SEQ Figure_SI-A \* ARABIC </w:instrText>
            </w:r>
            <w:r>
              <w:fldChar w:fldCharType="separate"/>
            </w:r>
            <w:r w:rsidR="00181B0F">
              <w:rPr>
                <w:noProof/>
              </w:rPr>
              <w:t>4</w:t>
            </w:r>
            <w:r>
              <w:fldChar w:fldCharType="end"/>
            </w:r>
            <w:r>
              <w:t>: Comparison of maximum peak area</w:t>
            </w:r>
            <w:r w:rsidR="00CA4B99">
              <w:t xml:space="preserve"> (a)</w:t>
            </w:r>
            <w:r>
              <w:t>, explained fragments</w:t>
            </w:r>
            <w:r w:rsidR="009224EA">
              <w:t xml:space="preserve"> from </w:t>
            </w:r>
            <w:proofErr w:type="spellStart"/>
            <w:r w:rsidR="009224EA">
              <w:t>MetFrag</w:t>
            </w:r>
            <w:proofErr w:type="spellEnd"/>
            <w:r w:rsidR="00CA4B99">
              <w:t xml:space="preserve"> (b)</w:t>
            </w:r>
            <w:r w:rsidR="009224EA">
              <w:t xml:space="preserve"> and sale volumes</w:t>
            </w:r>
            <w:r w:rsidR="00CA4B99">
              <w:t xml:space="preserve"> (c)</w:t>
            </w:r>
            <w:r>
              <w:t xml:space="preserve"> of suspects</w:t>
            </w:r>
            <w:r w:rsidR="00BC1E07">
              <w:t xml:space="preserve"> which were confirmed or rejected using reference material</w:t>
            </w:r>
            <w:r>
              <w:t>.</w:t>
            </w:r>
          </w:p>
          <w:p w14:paraId="77DD8B6D" w14:textId="77777777" w:rsidR="00C556F6" w:rsidRDefault="00C556F6" w:rsidP="00622B98">
            <w:pPr>
              <w:pStyle w:val="Caption"/>
            </w:pPr>
          </w:p>
        </w:tc>
      </w:tr>
    </w:tbl>
    <w:p w14:paraId="317E28BC" w14:textId="77777777" w:rsidR="00C556F6" w:rsidRDefault="00C556F6" w:rsidP="00622B98">
      <w:pPr>
        <w:pStyle w:val="Captio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E2E26" w14:paraId="30B75256" w14:textId="77777777" w:rsidTr="007E2E26">
        <w:tc>
          <w:tcPr>
            <w:tcW w:w="9286" w:type="dxa"/>
          </w:tcPr>
          <w:p w14:paraId="4FED83DF" w14:textId="77777777" w:rsidR="007E2E26" w:rsidRDefault="007E2E26" w:rsidP="007E2E26">
            <w:pPr>
              <w:keepNext/>
            </w:pPr>
            <w:r>
              <w:rPr>
                <w:noProof/>
                <w:lang w:val="de-CH" w:eastAsia="de-CH"/>
              </w:rPr>
              <w:drawing>
                <wp:inline distT="0" distB="0" distL="0" distR="0" wp14:anchorId="28DC3A6A" wp14:editId="23B9C668">
                  <wp:extent cx="5652000" cy="2775880"/>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52000" cy="2775880"/>
                          </a:xfrm>
                          <a:prstGeom prst="rect">
                            <a:avLst/>
                          </a:prstGeom>
                        </pic:spPr>
                      </pic:pic>
                    </a:graphicData>
                  </a:graphic>
                </wp:inline>
              </w:drawing>
            </w:r>
          </w:p>
          <w:p w14:paraId="65E8D81A" w14:textId="4747FC11" w:rsidR="007E2E26" w:rsidRDefault="007E2E26" w:rsidP="00622B98">
            <w:pPr>
              <w:pStyle w:val="Caption"/>
            </w:pPr>
            <w:r w:rsidRPr="00A155A7">
              <w:t xml:space="preserve">Figure SI-A </w:t>
            </w:r>
            <w:r w:rsidRPr="00A155A7">
              <w:fldChar w:fldCharType="begin"/>
            </w:r>
            <w:r w:rsidRPr="00A155A7">
              <w:instrText xml:space="preserve"> SEQ Figure_SI-A \* ARABIC </w:instrText>
            </w:r>
            <w:r w:rsidRPr="00A155A7">
              <w:fldChar w:fldCharType="separate"/>
            </w:r>
            <w:r w:rsidR="00181B0F">
              <w:rPr>
                <w:noProof/>
              </w:rPr>
              <w:t>5</w:t>
            </w:r>
            <w:r w:rsidRPr="00A155A7">
              <w:fldChar w:fldCharType="end"/>
            </w:r>
            <w:r w:rsidRPr="00A155A7">
              <w:t xml:space="preserve">: </w:t>
            </w:r>
            <w:r w:rsidR="009224EA">
              <w:t>HR</w:t>
            </w:r>
            <w:r w:rsidRPr="00A155A7">
              <w:t xml:space="preserve">MS/MS spectrum of the suspect hit </w:t>
            </w:r>
            <w:proofErr w:type="spellStart"/>
            <w:r w:rsidRPr="00A155A7">
              <w:t>fenazaquin</w:t>
            </w:r>
            <w:proofErr w:type="spellEnd"/>
            <w:r w:rsidR="006B294A" w:rsidRPr="00A155A7">
              <w:t xml:space="preserve"> with peaks which could be explained by the structure marked in red; </w:t>
            </w:r>
            <w:proofErr w:type="spellStart"/>
            <w:r w:rsidR="006B294A" w:rsidRPr="00A155A7">
              <w:t>fenazaquin</w:t>
            </w:r>
            <w:proofErr w:type="spellEnd"/>
            <w:r w:rsidR="006B294A" w:rsidRPr="00A155A7">
              <w:t xml:space="preserve"> was</w:t>
            </w:r>
            <w:r w:rsidRPr="00A155A7">
              <w:t xml:space="preserve"> rejected using reference material</w:t>
            </w:r>
            <w:r w:rsidR="009224EA">
              <w:t xml:space="preserve"> due to different RT</w:t>
            </w:r>
            <w:r w:rsidRPr="00A155A7">
              <w:t>.</w:t>
            </w:r>
          </w:p>
        </w:tc>
      </w:tr>
    </w:tbl>
    <w:p w14:paraId="1E621A75" w14:textId="480DFC5E" w:rsidR="0029342B" w:rsidRPr="00547885" w:rsidRDefault="0029342B" w:rsidP="0029342B">
      <w:pPr>
        <w:pStyle w:val="Caption"/>
        <w:rPr>
          <w:noProof/>
          <w:lang w:val="en-US" w:eastAsia="de-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3208A" w14:paraId="5B968480" w14:textId="77777777" w:rsidTr="0029342B">
        <w:tc>
          <w:tcPr>
            <w:tcW w:w="9072" w:type="dxa"/>
          </w:tcPr>
          <w:p w14:paraId="07422CB9" w14:textId="77777777" w:rsidR="0083208A" w:rsidRDefault="0083208A" w:rsidP="00650066">
            <w:pPr>
              <w:keepNext/>
            </w:pPr>
            <w:r>
              <w:rPr>
                <w:noProof/>
                <w:lang w:val="de-CH" w:eastAsia="de-CH"/>
              </w:rPr>
              <w:lastRenderedPageBreak/>
              <w:drawing>
                <wp:inline distT="0" distB="0" distL="0" distR="0" wp14:anchorId="28FD4BB7" wp14:editId="6032BF7E">
                  <wp:extent cx="5759450" cy="40052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t="7277"/>
                          <a:stretch/>
                        </pic:blipFill>
                        <pic:spPr bwMode="auto">
                          <a:xfrm>
                            <a:off x="0" y="0"/>
                            <a:ext cx="5760000" cy="4005645"/>
                          </a:xfrm>
                          <a:prstGeom prst="rect">
                            <a:avLst/>
                          </a:prstGeom>
                          <a:ln>
                            <a:noFill/>
                          </a:ln>
                          <a:extLst>
                            <a:ext uri="{53640926-AAD7-44D8-BBD7-CCE9431645EC}">
                              <a14:shadowObscured xmlns:a14="http://schemas.microsoft.com/office/drawing/2010/main"/>
                            </a:ext>
                          </a:extLst>
                        </pic:spPr>
                      </pic:pic>
                    </a:graphicData>
                  </a:graphic>
                </wp:inline>
              </w:drawing>
            </w:r>
          </w:p>
          <w:p w14:paraId="10BA713A" w14:textId="59DAEDFE" w:rsidR="0083208A" w:rsidRDefault="0083208A" w:rsidP="00622B98">
            <w:pPr>
              <w:pStyle w:val="Caption"/>
            </w:pPr>
            <w:r w:rsidRPr="00A155A7">
              <w:t xml:space="preserve">Figure SI-A </w:t>
            </w:r>
            <w:r w:rsidRPr="00A155A7">
              <w:fldChar w:fldCharType="begin"/>
            </w:r>
            <w:r w:rsidRPr="00A155A7">
              <w:instrText xml:space="preserve"> SEQ Figure_SI-A \* ARABIC </w:instrText>
            </w:r>
            <w:r w:rsidRPr="00A155A7">
              <w:fldChar w:fldCharType="separate"/>
            </w:r>
            <w:r w:rsidR="00181B0F">
              <w:rPr>
                <w:noProof/>
              </w:rPr>
              <w:t>6</w:t>
            </w:r>
            <w:r w:rsidRPr="00A155A7">
              <w:fldChar w:fldCharType="end"/>
            </w:r>
            <w:r w:rsidRPr="00A155A7">
              <w:t xml:space="preserve">: </w:t>
            </w:r>
            <w:r w:rsidR="009224EA">
              <w:t>HR</w:t>
            </w:r>
            <w:r>
              <w:t xml:space="preserve">MS/MS spectra of </w:t>
            </w:r>
            <w:proofErr w:type="spellStart"/>
            <w:r>
              <w:t>fipronil</w:t>
            </w:r>
            <w:proofErr w:type="spellEnd"/>
            <w:r>
              <w:t xml:space="preserve"> TP RPA 106681 in sample (</w:t>
            </w:r>
            <w:r w:rsidR="005B5950">
              <w:t xml:space="preserve">above, </w:t>
            </w:r>
            <w:r>
              <w:t>red) and reference material (</w:t>
            </w:r>
            <w:r w:rsidR="005B5950">
              <w:t xml:space="preserve">below, </w:t>
            </w:r>
            <w:r>
              <w:t>blue) with structure proposals for four fragments. For RPA 106681</w:t>
            </w:r>
            <w:r w:rsidR="005B5950">
              <w:t>,</w:t>
            </w:r>
            <w:r>
              <w:t xml:space="preserve"> reference material was not available, but the obtained reference material for RPA 200761 revealed a peak at the precursor m/z of RPA 106681</w:t>
            </w:r>
            <w:r w:rsidR="005B5950">
              <w:t xml:space="preserve"> ([M+H</w:t>
            </w:r>
            <w:proofErr w:type="gramStart"/>
            <w:r w:rsidR="005B5950">
              <w:t>]</w:t>
            </w:r>
            <w:r w:rsidR="005B5950" w:rsidRPr="00D444C5">
              <w:rPr>
                <w:vertAlign w:val="superscript"/>
              </w:rPr>
              <w:t>+</w:t>
            </w:r>
            <w:proofErr w:type="gramEnd"/>
            <w:r w:rsidR="005B5950">
              <w:t xml:space="preserve"> &amp; [M-H]</w:t>
            </w:r>
            <w:r w:rsidR="005B5950" w:rsidRPr="00D444C5">
              <w:rPr>
                <w:vertAlign w:val="superscript"/>
              </w:rPr>
              <w:t>-</w:t>
            </w:r>
            <w:r w:rsidR="005B5950">
              <w:t>)</w:t>
            </w:r>
            <w:r>
              <w:t>. RT matches with peaks in sample.</w:t>
            </w:r>
          </w:p>
        </w:tc>
      </w:tr>
    </w:tbl>
    <w:p w14:paraId="386618D0" w14:textId="100F4FBF" w:rsidR="00A31695" w:rsidRDefault="00A31695" w:rsidP="006C1C56"/>
    <w:p w14:paraId="367304F7" w14:textId="77777777" w:rsidR="00A31695" w:rsidRDefault="00A31695">
      <w:pPr>
        <w:spacing w:line="276" w:lineRule="auto"/>
        <w:jc w:val="left"/>
      </w:pPr>
      <w:r>
        <w:br w:type="page"/>
      </w:r>
    </w:p>
    <w:p w14:paraId="730E8B9F" w14:textId="2B16F595" w:rsidR="0083208A" w:rsidRDefault="00A31695" w:rsidP="00A31695">
      <w:pPr>
        <w:pStyle w:val="Heading1"/>
      </w:pPr>
      <w:bookmarkStart w:id="10" w:name="_Toc12624286"/>
      <w:r>
        <w:lastRenderedPageBreak/>
        <w:t xml:space="preserve">SI-A </w:t>
      </w:r>
      <w:r>
        <w:fldChar w:fldCharType="begin"/>
      </w:r>
      <w:r>
        <w:instrText xml:space="preserve"> SEQ SI-A \* ARABIC </w:instrText>
      </w:r>
      <w:r>
        <w:fldChar w:fldCharType="separate"/>
      </w:r>
      <w:r w:rsidR="00181B0F">
        <w:rPr>
          <w:noProof/>
        </w:rPr>
        <w:t>6</w:t>
      </w:r>
      <w:r>
        <w:fldChar w:fldCharType="end"/>
      </w:r>
      <w:r>
        <w:t>: Impact of Land Use on Groundwater Quality</w:t>
      </w:r>
      <w:bookmarkEnd w:id="10"/>
    </w:p>
    <w:p w14:paraId="3485441B" w14:textId="1EE5B549" w:rsidR="00A31695" w:rsidRPr="00533830" w:rsidRDefault="00A31695" w:rsidP="00A31695">
      <w:r>
        <w:t>Land use drives not only total concentrations of MP classes, as discussed in section 3.4, but explains also the presence of site-specific MPs.</w:t>
      </w:r>
      <w:r w:rsidRPr="00A6048E">
        <w:t xml:space="preserve"> </w:t>
      </w:r>
      <w:r>
        <w:t>One sample was noticeable for the high contamination with the industrial chemical melamine (770 ng/L)</w:t>
      </w:r>
      <w:r w:rsidR="009224EA">
        <w:t>, which explained</w:t>
      </w:r>
      <w:r>
        <w:t xml:space="preserve"> 47% of total MP concentration. Melamine is a </w:t>
      </w:r>
      <w:r w:rsidR="00E92C12">
        <w:t>transformation product (</w:t>
      </w:r>
      <w:r>
        <w:t>TP</w:t>
      </w:r>
      <w:r w:rsidR="00E92C12">
        <w:t>)</w:t>
      </w:r>
      <w:r>
        <w:t xml:space="preserve"> of the biocide </w:t>
      </w:r>
      <w:proofErr w:type="spellStart"/>
      <w:r>
        <w:t>cyromazine</w:t>
      </w:r>
      <w:proofErr w:type="spellEnd"/>
      <w:r>
        <w:t xml:space="preserve"> but also a high production volume chemical used for the fabrication of a wide range of materials, such as laminate, paper, textiles, or glues (Europe: 250000 t/a). Melamine is well-degradable in wastewater treatment plants</w:t>
      </w:r>
      <w:r w:rsidR="009224EA">
        <w:t xml:space="preserve"> with adapted microbial community</w:t>
      </w:r>
      <w:r>
        <w:t xml:space="preserve"> but relatively persistent in the environment </w:t>
      </w:r>
      <w:r>
        <w:fldChar w:fldCharType="begin"/>
      </w:r>
      <w:r>
        <w:instrText xml:space="preserve"> ADDIN EN.CITE &lt;EndNote&gt;&lt;Cite&gt;&lt;Author&gt;OECD&lt;/Author&gt;&lt;Year&gt;1999&lt;/Year&gt;&lt;RecNum&gt;303&lt;/RecNum&gt;&lt;DisplayText&gt;(OECD 1999)&lt;/DisplayText&gt;&lt;record&gt;&lt;rec-number&gt;303&lt;/rec-number&gt;&lt;foreign-keys&gt;&lt;key app="EN" db-id="5txd5e0ztarddres5a15522yswtpasezvzvx" timestamp="1543831172"&gt;303&lt;/key&gt;&lt;key app="ENWeb" db-id=""&gt;0&lt;/key&gt;&lt;/foreign-keys&gt;&lt;ref-type name="Journal Article"&gt;17&lt;/ref-type&gt;&lt;contributors&gt;&lt;authors&gt;&lt;author&gt;OECD&lt;/author&gt;&lt;/authors&gt;&lt;/contributors&gt;&lt;titles&gt;&lt;title&gt; Screening Information Dataset (SIDS) Initial Assessment Report (SIAR): Melamine CAS N°:108-78-1&lt;/title&gt;&lt;secondary-title&gt;UNEP Publications&lt;/secondary-title&gt;&lt;/titles&gt;&lt;periodical&gt;&lt;full-title&gt;UNEP Publications&lt;/full-title&gt;&lt;/periodical&gt;&lt;pages&gt;110-198&lt;/pages&gt;&lt;dates&gt;&lt;year&gt;1999&lt;/year&gt;&lt;/dates&gt;&lt;urls&gt;&lt;/urls&gt;&lt;/record&gt;&lt;/Cite&gt;&lt;/EndNote&gt;</w:instrText>
      </w:r>
      <w:r>
        <w:fldChar w:fldCharType="separate"/>
      </w:r>
      <w:r>
        <w:rPr>
          <w:noProof/>
        </w:rPr>
        <w:t>(OECD 1999)</w:t>
      </w:r>
      <w:r>
        <w:fldChar w:fldCharType="end"/>
      </w:r>
      <w:r>
        <w:t xml:space="preserve">. We expect that the high amounts of melamine enter the aquifer via seepage from nearby landfills or </w:t>
      </w:r>
      <w:r w:rsidR="009224EA">
        <w:t xml:space="preserve">from </w:t>
      </w:r>
      <w:r>
        <w:t>bank filtrate from the Rhone River</w:t>
      </w:r>
      <w:r w:rsidR="0003402B">
        <w:t>,</w:t>
      </w:r>
      <w:r w:rsidRPr="00D31965">
        <w:t xml:space="preserve"> </w:t>
      </w:r>
      <w:r>
        <w:t xml:space="preserve">which acts as </w:t>
      </w:r>
      <w:r w:rsidR="0003402B">
        <w:t xml:space="preserve">a </w:t>
      </w:r>
      <w:r>
        <w:t>receiving water for numerous municip</w:t>
      </w:r>
      <w:r w:rsidR="0003402B">
        <w:t>al</w:t>
      </w:r>
      <w:r>
        <w:t xml:space="preserve"> and</w:t>
      </w:r>
      <w:r w:rsidR="0003402B">
        <w:t>,</w:t>
      </w:r>
      <w:r>
        <w:t xml:space="preserve"> </w:t>
      </w:r>
      <w:r w:rsidR="0003402B">
        <w:t>most importantly</w:t>
      </w:r>
      <w:r>
        <w:t>, industrial wastewater treatment plants. This</w:t>
      </w:r>
      <w:r w:rsidR="0003402B">
        <w:t xml:space="preserve"> explanation</w:t>
      </w:r>
      <w:r>
        <w:t xml:space="preserve"> was supported by the detection of typical wastewater tracers such as </w:t>
      </w:r>
      <w:proofErr w:type="spellStart"/>
      <w:r>
        <w:t>benzotriazole</w:t>
      </w:r>
      <w:proofErr w:type="spellEnd"/>
      <w:r>
        <w:t xml:space="preserve"> (210 ng/L) and </w:t>
      </w:r>
      <w:proofErr w:type="spellStart"/>
      <w:r>
        <w:t>acesulfame</w:t>
      </w:r>
      <w:proofErr w:type="spellEnd"/>
      <w:r>
        <w:t xml:space="preserve"> (70 ng/L) at the same monitoring site. </w:t>
      </w:r>
      <w:r>
        <w:fldChar w:fldCharType="begin"/>
      </w:r>
      <w:r>
        <w:instrText xml:space="preserve"> ADDIN EN.CITE &lt;EndNote&gt;&lt;Cite AuthorYear="1"&gt;&lt;Author&gt;Seitz&lt;/Author&gt;&lt;Year&gt;2017&lt;/Year&gt;&lt;RecNum&gt;312&lt;/RecNum&gt;&lt;DisplayText&gt;Seitz and Winzenbacher (2017)&lt;/DisplayText&gt;&lt;record&gt;&lt;rec-number&gt;312&lt;/rec-number&gt;&lt;foreign-keys&gt;&lt;key app="EN" db-id="5txd5e0ztarddres5a15522yswtpasezvzvx" timestamp="1544462178"&gt;312&lt;/key&gt;&lt;/foreign-keys&gt;&lt;ref-type name="Journal Article"&gt;17&lt;/ref-type&gt;&lt;contributors&gt;&lt;authors&gt;&lt;author&gt;Seitz, Wolfram&lt;/author&gt;&lt;author&gt;Winzenbacher, Rudi&lt;/author&gt;&lt;/authors&gt;&lt;/contributors&gt;&lt;titles&gt;&lt;title&gt;A survey on trace organic chemicals in a German water protection area and the proposal of relevant indicators for anthropogenic influences&lt;/title&gt;&lt;secondary-title&gt;Environmental Monitoring Assessment&lt;/secondary-title&gt;&lt;/titles&gt;&lt;periodical&gt;&lt;full-title&gt;Environmental Monitoring Assessment&lt;/full-title&gt;&lt;/periodical&gt;&lt;pages&gt;1-17&lt;/pages&gt;&lt;volume&gt;189&lt;/volume&gt;&lt;dates&gt;&lt;year&gt;2017&lt;/year&gt;&lt;pub-dates&gt;&lt;date&gt;May 01&lt;/date&gt;&lt;/pub-dates&gt;&lt;/dates&gt;&lt;isbn&gt;1573-2959&lt;/isbn&gt;&lt;label&gt;Seitz2017&lt;/label&gt;&lt;work-type&gt;journal article&lt;/work-type&gt;&lt;urls&gt;&lt;related-urls&gt;&lt;url&gt;https://doi.org/10.1007/s10661-017-5953-z&lt;/url&gt;&lt;/related-urls&gt;&lt;/urls&gt;&lt;electronic-resource-num&gt;10.1007/s10661-017-5953-z&lt;/electronic-resource-num&gt;&lt;/record&gt;&lt;/Cite&gt;&lt;/EndNote&gt;</w:instrText>
      </w:r>
      <w:r>
        <w:fldChar w:fldCharType="separate"/>
      </w:r>
      <w:r>
        <w:rPr>
          <w:noProof/>
        </w:rPr>
        <w:t>Seitz and Winzenbacher (2017)</w:t>
      </w:r>
      <w:r>
        <w:fldChar w:fldCharType="end"/>
      </w:r>
      <w:r>
        <w:t xml:space="preserve"> reported for melamine median concentrations of 360 ng/L in groundwater and 610 ng/L in stream water in Germany due to seepage from a nearby landfill and the discharge of treated wastewater, respectively.</w:t>
      </w:r>
      <w:r w:rsidRPr="003B231D">
        <w:rPr>
          <w:lang w:val="en-US"/>
        </w:rPr>
        <w:t xml:space="preserve"> </w:t>
      </w:r>
    </w:p>
    <w:p w14:paraId="5B7DA23B" w14:textId="53B3690F" w:rsidR="00A31695" w:rsidRPr="00A31695" w:rsidRDefault="00A31695" w:rsidP="00A31695">
      <w:r>
        <w:t xml:space="preserve">The highest MP concentration (9000 ng/L) was detected in a spring draining intensively cultivated arable land. TPs of </w:t>
      </w:r>
      <w:proofErr w:type="spellStart"/>
      <w:r>
        <w:t>chlorothalonil</w:t>
      </w:r>
      <w:proofErr w:type="spellEnd"/>
      <w:r>
        <w:t xml:space="preserve">, </w:t>
      </w:r>
      <w:proofErr w:type="spellStart"/>
      <w:r>
        <w:t>chloridazon</w:t>
      </w:r>
      <w:proofErr w:type="spellEnd"/>
      <w:r>
        <w:t xml:space="preserve"> and </w:t>
      </w:r>
      <w:proofErr w:type="spellStart"/>
      <w:r>
        <w:t>metolachlor</w:t>
      </w:r>
      <w:proofErr w:type="spellEnd"/>
      <w:r>
        <w:t xml:space="preserve"> explained 90% of total MP concentration. In contrast, the sample with the lowest MP concentration (60 ng/L) was dominated by</w:t>
      </w:r>
      <w:r w:rsidR="0003402B">
        <w:t xml:space="preserve"> the herbicide </w:t>
      </w:r>
      <w:proofErr w:type="spellStart"/>
      <w:r w:rsidR="0003402B">
        <w:t>asulam</w:t>
      </w:r>
      <w:proofErr w:type="spellEnd"/>
      <w:r w:rsidR="0003402B">
        <w:t xml:space="preserve"> (54 ng/L).</w:t>
      </w:r>
      <w:r>
        <w:t xml:space="preserve"> </w:t>
      </w:r>
      <w:proofErr w:type="spellStart"/>
      <w:r w:rsidR="0003402B">
        <w:t>A</w:t>
      </w:r>
      <w:r>
        <w:t>sulam</w:t>
      </w:r>
      <w:proofErr w:type="spellEnd"/>
      <w:r>
        <w:t xml:space="preserve"> concentration was more than five times higher than in all other groundwater w</w:t>
      </w:r>
      <w:r w:rsidR="0003402B">
        <w:t>ells. The herbicide ha</w:t>
      </w:r>
      <w:r>
        <w:t>s not</w:t>
      </w:r>
      <w:r w:rsidR="0003402B">
        <w:t xml:space="preserve"> been</w:t>
      </w:r>
      <w:r>
        <w:t xml:space="preserve"> approved in the EU since 2012 </w:t>
      </w:r>
      <w:r>
        <w:fldChar w:fldCharType="begin"/>
      </w:r>
      <w:r>
        <w:instrText xml:space="preserve"> ADDIN EN.CITE &lt;EndNote&gt;&lt;Cite&gt;&lt;Author&gt;Commission&lt;/Author&gt;&lt;Year&gt;2011&lt;/Year&gt;&lt;RecNum&gt;304&lt;/RecNum&gt;&lt;DisplayText&gt;(European Commission 2011)&lt;/DisplayText&gt;&lt;record&gt;&lt;rec-number&gt;304&lt;/rec-number&gt;&lt;foreign-keys&gt;&lt;key app="EN" db-id="5txd5e0ztarddres5a15522yswtpasezvzvx" timestamp="1544027902"&gt;304&lt;/key&gt;&lt;key app="ENWeb" db-id=""&gt;0&lt;/key&gt;&lt;/foreign-keys&gt;&lt;ref-type name="Journal Article"&gt;17&lt;/ref-type&gt;&lt;contributors&gt;&lt;authors&gt;&lt;author&gt;European Commission,&lt;/author&gt;&lt;/authors&gt;&lt;/contributors&gt;&lt;titles&gt;&lt;title&gt;Commission Implementing Regulation (EU) No 1045/2011 of 19 October 2011 concerning the non-approval of the active substance asulam, in accordance with Regulation (EC) No 1107/2009 of the European Parliament and of the Council concerning the placing of plant protection products on the market, and amending Commission Decision 2008/934/EC&lt;/title&gt;&lt;secondary-title&gt;Official Journal of the European Union&lt;/secondary-title&gt;&lt;/titles&gt;&lt;periodical&gt;&lt;full-title&gt;Official Journal of the European Union&lt;/full-title&gt;&lt;/periodical&gt;&lt;volume&gt;275&lt;/volume&gt;&lt;dates&gt;&lt;year&gt;2011&lt;/year&gt;&lt;/dates&gt;&lt;urls&gt;&lt;/urls&gt;&lt;electronic-resource-num&gt;10.2903/j.efsa.2010.1822&lt;/electronic-resource-num&gt;&lt;/record&gt;&lt;/Cite&gt;&lt;/EndNote&gt;</w:instrText>
      </w:r>
      <w:r>
        <w:fldChar w:fldCharType="separate"/>
      </w:r>
      <w:r>
        <w:rPr>
          <w:noProof/>
        </w:rPr>
        <w:t>(European Commission 2011)</w:t>
      </w:r>
      <w:r>
        <w:fldChar w:fldCharType="end"/>
      </w:r>
      <w:r>
        <w:t xml:space="preserve">, but </w:t>
      </w:r>
      <w:r w:rsidR="0003402B">
        <w:t xml:space="preserve">is still </w:t>
      </w:r>
      <w:r>
        <w:t>used in Switzerland to combat dock and fern species, e.g. on pastures (</w:t>
      </w:r>
      <w:proofErr w:type="spellStart"/>
      <w:r w:rsidRPr="004A4EAC">
        <w:rPr>
          <w:i/>
        </w:rPr>
        <w:t>Rumex</w:t>
      </w:r>
      <w:proofErr w:type="spellEnd"/>
      <w:r w:rsidRPr="004A4EAC">
        <w:rPr>
          <w:i/>
        </w:rPr>
        <w:t xml:space="preserve"> </w:t>
      </w:r>
      <w:proofErr w:type="spellStart"/>
      <w:r w:rsidRPr="004A4EAC">
        <w:rPr>
          <w:i/>
        </w:rPr>
        <w:t>obtusifolius</w:t>
      </w:r>
      <w:proofErr w:type="spellEnd"/>
      <w:r w:rsidRPr="004A4EAC">
        <w:rPr>
          <w:i/>
        </w:rPr>
        <w:t xml:space="preserve">, </w:t>
      </w:r>
      <w:proofErr w:type="spellStart"/>
      <w:r w:rsidRPr="004A4EAC">
        <w:rPr>
          <w:i/>
        </w:rPr>
        <w:t>Rumex</w:t>
      </w:r>
      <w:proofErr w:type="spellEnd"/>
      <w:r w:rsidRPr="004A4EAC">
        <w:rPr>
          <w:i/>
        </w:rPr>
        <w:t xml:space="preserve"> </w:t>
      </w:r>
      <w:proofErr w:type="spellStart"/>
      <w:r w:rsidRPr="004A4EAC">
        <w:rPr>
          <w:i/>
        </w:rPr>
        <w:t>alpinus</w:t>
      </w:r>
      <w:proofErr w:type="spellEnd"/>
      <w:r w:rsidRPr="004A4EAC">
        <w:rPr>
          <w:i/>
        </w:rPr>
        <w:t xml:space="preserve">, </w:t>
      </w:r>
      <w:proofErr w:type="spellStart"/>
      <w:r w:rsidRPr="004A4EAC">
        <w:rPr>
          <w:rStyle w:val="st"/>
          <w:i/>
        </w:rPr>
        <w:t>Pteridium</w:t>
      </w:r>
      <w:proofErr w:type="spellEnd"/>
      <w:r w:rsidRPr="004A4EAC">
        <w:rPr>
          <w:rStyle w:val="st"/>
          <w:i/>
        </w:rPr>
        <w:t xml:space="preserve"> </w:t>
      </w:r>
      <w:proofErr w:type="spellStart"/>
      <w:r w:rsidRPr="004A4EAC">
        <w:rPr>
          <w:rStyle w:val="st"/>
          <w:i/>
        </w:rPr>
        <w:t>aquilinum</w:t>
      </w:r>
      <w:proofErr w:type="spellEnd"/>
      <w:r w:rsidRPr="004A4EAC">
        <w:rPr>
          <w:rStyle w:val="st"/>
          <w:i/>
        </w:rPr>
        <w:t xml:space="preserve">, </w:t>
      </w:r>
      <w:proofErr w:type="spellStart"/>
      <w:r w:rsidRPr="004A4EAC">
        <w:rPr>
          <w:i/>
        </w:rPr>
        <w:t>Dryopteris</w:t>
      </w:r>
      <w:proofErr w:type="spellEnd"/>
      <w:r w:rsidRPr="004A4EAC">
        <w:rPr>
          <w:i/>
        </w:rPr>
        <w:t xml:space="preserve"> </w:t>
      </w:r>
      <w:proofErr w:type="spellStart"/>
      <w:r w:rsidRPr="004A4EAC">
        <w:rPr>
          <w:i/>
        </w:rPr>
        <w:t>filix</w:t>
      </w:r>
      <w:proofErr w:type="spellEnd"/>
      <w:r>
        <w:t>-</w:t>
      </w:r>
      <w:r w:rsidRPr="004A4EAC">
        <w:rPr>
          <w:i/>
        </w:rPr>
        <w:t>mas</w:t>
      </w:r>
      <w:r w:rsidRPr="004A4EAC">
        <w:t>)</w:t>
      </w:r>
      <w:r>
        <w:t xml:space="preserve">. The catchment of the spring is dominated by grassland / pastures (63%) and forest (30%); wastewater impacted streams do not influence groundwater recharge. Consequently, the catchment explained both the generally low MP and the high </w:t>
      </w:r>
      <w:proofErr w:type="spellStart"/>
      <w:r>
        <w:t>asulam</w:t>
      </w:r>
      <w:proofErr w:type="spellEnd"/>
      <w:r>
        <w:t xml:space="preserve"> contamination.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B6414" w14:paraId="124B2E5B" w14:textId="77777777" w:rsidTr="00993B45">
        <w:tc>
          <w:tcPr>
            <w:tcW w:w="9072" w:type="dxa"/>
          </w:tcPr>
          <w:p w14:paraId="3FD2B622" w14:textId="7FE1EA6C" w:rsidR="005B7774" w:rsidRDefault="005B7774" w:rsidP="00993B45">
            <w:pPr>
              <w:keepNext/>
              <w:jc w:val="center"/>
            </w:pPr>
            <w:r>
              <w:rPr>
                <w:noProof/>
                <w:lang w:val="de-CH" w:eastAsia="de-CH"/>
              </w:rPr>
              <w:lastRenderedPageBreak/>
              <w:drawing>
                <wp:inline distT="0" distB="0" distL="0" distR="0" wp14:anchorId="430FA551" wp14:editId="468AF14D">
                  <wp:extent cx="5328000" cy="7723570"/>
                  <wp:effectExtent l="0" t="0" r="635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rrelation_landuse_MPs.png"/>
                          <pic:cNvPicPr/>
                        </pic:nvPicPr>
                        <pic:blipFill>
                          <a:blip r:embed="rId21">
                            <a:extLst>
                              <a:ext uri="{28A0092B-C50C-407E-A947-70E740481C1C}">
                                <a14:useLocalDpi xmlns:a14="http://schemas.microsoft.com/office/drawing/2010/main" val="0"/>
                              </a:ext>
                            </a:extLst>
                          </a:blip>
                          <a:stretch>
                            <a:fillRect/>
                          </a:stretch>
                        </pic:blipFill>
                        <pic:spPr>
                          <a:xfrm>
                            <a:off x="0" y="0"/>
                            <a:ext cx="5328000" cy="7723570"/>
                          </a:xfrm>
                          <a:prstGeom prst="rect">
                            <a:avLst/>
                          </a:prstGeom>
                        </pic:spPr>
                      </pic:pic>
                    </a:graphicData>
                  </a:graphic>
                </wp:inline>
              </w:drawing>
            </w:r>
          </w:p>
          <w:p w14:paraId="11A216A3" w14:textId="5FEADAFF" w:rsidR="005B7774" w:rsidRDefault="005B7774" w:rsidP="00546DC0">
            <w:pPr>
              <w:pStyle w:val="Caption"/>
            </w:pPr>
            <w:r>
              <w:t xml:space="preserve">Figure SI-A </w:t>
            </w:r>
            <w:r>
              <w:fldChar w:fldCharType="begin"/>
            </w:r>
            <w:r>
              <w:instrText xml:space="preserve"> SEQ Figure_SI-A \* ARABIC </w:instrText>
            </w:r>
            <w:r>
              <w:fldChar w:fldCharType="separate"/>
            </w:r>
            <w:r w:rsidR="00181B0F">
              <w:rPr>
                <w:noProof/>
              </w:rPr>
              <w:t>7</w:t>
            </w:r>
            <w:r>
              <w:fldChar w:fldCharType="end"/>
            </w:r>
            <w:r>
              <w:t xml:space="preserve">: </w:t>
            </w:r>
            <w:r w:rsidR="00DB3628">
              <w:t xml:space="preserve">a, c, e: Correlation between </w:t>
            </w:r>
            <w:r w:rsidR="00545A39">
              <w:t>total agricultural MP concentration</w:t>
            </w:r>
            <w:r w:rsidR="00DB3628">
              <w:t xml:space="preserve"> / </w:t>
            </w:r>
            <w:r w:rsidR="00545A39">
              <w:t>agricultural MP</w:t>
            </w:r>
            <w:r w:rsidR="00CB1C85">
              <w:t xml:space="preserve"> </w:t>
            </w:r>
            <w:r>
              <w:t xml:space="preserve">detections </w:t>
            </w:r>
            <w:r w:rsidR="00DB3628">
              <w:t>/ nitrate concentration</w:t>
            </w:r>
            <w:r>
              <w:t xml:space="preserve"> and percentage of agricultural land use in catchment</w:t>
            </w:r>
            <w:r w:rsidR="00080667">
              <w:t xml:space="preserve"> (cropland, orchards, vineyards)</w:t>
            </w:r>
            <w:r w:rsidR="00F04EA5">
              <w:t xml:space="preserve">; </w:t>
            </w:r>
            <w:r w:rsidR="00DB3628">
              <w:t>b, d, f</w:t>
            </w:r>
            <w:r w:rsidR="00F04EA5">
              <w:t>: correlation</w:t>
            </w:r>
            <w:r>
              <w:t xml:space="preserve"> between </w:t>
            </w:r>
            <w:r w:rsidR="00DB3628">
              <w:t>total urban MP</w:t>
            </w:r>
            <w:r>
              <w:t xml:space="preserve"> concentration / </w:t>
            </w:r>
            <w:r w:rsidR="00DB3628">
              <w:t xml:space="preserve">urban MP </w:t>
            </w:r>
            <w:r>
              <w:t>detections</w:t>
            </w:r>
            <w:r w:rsidR="00DB3628">
              <w:t xml:space="preserve"> / nitrate concentration</w:t>
            </w:r>
            <w:r>
              <w:t xml:space="preserve"> and percen</w:t>
            </w:r>
            <w:r w:rsidR="00775DC0">
              <w:t xml:space="preserve">tage of settlement in catchment; g, h: correlation between </w:t>
            </w:r>
            <w:r w:rsidR="00545A39">
              <w:t>total agricultural MP concentration</w:t>
            </w:r>
            <w:r w:rsidR="00775DC0">
              <w:t xml:space="preserve"> / </w:t>
            </w:r>
            <w:r w:rsidR="00545A39">
              <w:t>agricultural MP</w:t>
            </w:r>
            <w:r w:rsidR="00775DC0">
              <w:t xml:space="preserve"> detections and nitrate concentration;</w:t>
            </w:r>
            <w:r w:rsidR="00CB1C85">
              <w:t xml:space="preserve"> “p</w:t>
            </w:r>
            <w:r w:rsidR="00546DC0">
              <w:t>esticides” = pesticides and TPs. R</w:t>
            </w:r>
            <w:r w:rsidR="00654A4A">
              <w:t xml:space="preserve">ed </w:t>
            </w:r>
            <w:r w:rsidR="00CB1C85">
              <w:t>dot</w:t>
            </w:r>
            <w:r w:rsidR="00545A39">
              <w:t>s</w:t>
            </w:r>
            <w:r w:rsidR="00654A4A">
              <w:t>:</w:t>
            </w:r>
            <w:r w:rsidR="00DB3628">
              <w:t xml:space="preserve"> groundwater monitoring site</w:t>
            </w:r>
            <w:r w:rsidR="00CB1C85">
              <w:t xml:space="preserve"> with catchment dominated by agriculture, but low MP and nitrate contamination (</w:t>
            </w:r>
            <w:r w:rsidR="00DB3628">
              <w:t>section 3.4</w:t>
            </w:r>
            <w:r w:rsidR="00CB1C85">
              <w:t>)</w:t>
            </w:r>
            <w:r w:rsidR="00A60F14">
              <w:t>.</w:t>
            </w:r>
          </w:p>
        </w:tc>
      </w:tr>
    </w:tbl>
    <w:p w14:paraId="78F16852" w14:textId="6273A82A" w:rsidR="005B5950" w:rsidRPr="00FC5850" w:rsidRDefault="0018626D" w:rsidP="002A5383">
      <w:pPr>
        <w:spacing w:line="276" w:lineRule="auto"/>
        <w:jc w:val="left"/>
        <w:rPr>
          <w:rFonts w:ascii="Calibri Light" w:hAnsi="Calibri Light" w:cs="Calibri Light"/>
          <w:b/>
          <w:sz w:val="24"/>
        </w:rPr>
      </w:pPr>
      <w:r>
        <w:rPr>
          <w:noProof/>
          <w:lang w:val="de-CH" w:eastAsia="de-CH"/>
        </w:rPr>
        <w:lastRenderedPageBreak/>
        <mc:AlternateContent>
          <mc:Choice Requires="wps">
            <w:drawing>
              <wp:anchor distT="0" distB="0" distL="114300" distR="114300" simplePos="0" relativeHeight="251695104" behindDoc="0" locked="0" layoutInCell="1" allowOverlap="1" wp14:anchorId="686959AA" wp14:editId="1D339650">
                <wp:simplePos x="0" y="0"/>
                <wp:positionH relativeFrom="column">
                  <wp:posOffset>2995930</wp:posOffset>
                </wp:positionH>
                <wp:positionV relativeFrom="paragraph">
                  <wp:posOffset>-8966835</wp:posOffset>
                </wp:positionV>
                <wp:extent cx="304800" cy="3143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04800" cy="314325"/>
                        </a:xfrm>
                        <a:prstGeom prst="rect">
                          <a:avLst/>
                        </a:prstGeom>
                        <a:noFill/>
                        <a:ln w="6350">
                          <a:noFill/>
                        </a:ln>
                      </wps:spPr>
                      <wps:txbx>
                        <w:txbxContent>
                          <w:p w14:paraId="56DE91FB" w14:textId="5510A994" w:rsidR="005E3A87" w:rsidRPr="00993B45" w:rsidRDefault="005E3A87" w:rsidP="0018626D">
                            <w:pPr>
                              <w:rPr>
                                <w:lang w:val="en-US"/>
                              </w:rPr>
                            </w:pPr>
                            <w:proofErr w:type="gramStart"/>
                            <w:r>
                              <w:rPr>
                                <w:lang w:val="en-US"/>
                              </w:rP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959AA" id="Text Box 23" o:spid="_x0000_s1033" type="#_x0000_t202" style="position:absolute;margin-left:235.9pt;margin-top:-706.05pt;width:24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" filled="f" stroked="f" strokeweight=".5pt">
                <v:textbox>
                  <w:txbxContent>
                    <w:p w14:paraId="56DE91FB" w14:textId="5510A994" w:rsidR="005E3A87" w:rsidRPr="00993B45" w:rsidRDefault="005E3A87" w:rsidP="0018626D">
                      <w:pPr>
                        <w:rPr>
                          <w:lang w:val="en-US"/>
                        </w:rPr>
                      </w:pPr>
                      <w:proofErr w:type="gramStart"/>
                      <w:r>
                        <w:rPr>
                          <w:lang w:val="en-US"/>
                        </w:rPr>
                        <w:t>b</w:t>
                      </w:r>
                      <w:proofErr w:type="gramEnd"/>
                    </w:p>
                  </w:txbxContent>
                </v:textbox>
              </v:shape>
            </w:pict>
          </mc:Fallback>
        </mc:AlternateContent>
      </w:r>
      <w:r>
        <w:rPr>
          <w:noProof/>
          <w:lang w:val="de-CH" w:eastAsia="de-CH"/>
        </w:rPr>
        <mc:AlternateContent>
          <mc:Choice Requires="wps">
            <w:drawing>
              <wp:anchor distT="0" distB="0" distL="114300" distR="114300" simplePos="0" relativeHeight="251678720" behindDoc="0" locked="0" layoutInCell="1" allowOverlap="1" wp14:anchorId="4F60A022" wp14:editId="5A23566D">
                <wp:simplePos x="0" y="0"/>
                <wp:positionH relativeFrom="column">
                  <wp:posOffset>290830</wp:posOffset>
                </wp:positionH>
                <wp:positionV relativeFrom="paragraph">
                  <wp:posOffset>-8985885</wp:posOffset>
                </wp:positionV>
                <wp:extent cx="304800" cy="31432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04800" cy="314325"/>
                        </a:xfrm>
                        <a:prstGeom prst="rect">
                          <a:avLst/>
                        </a:prstGeom>
                        <a:noFill/>
                        <a:ln w="6350">
                          <a:noFill/>
                        </a:ln>
                      </wps:spPr>
                      <wps:txbx>
                        <w:txbxContent>
                          <w:p w14:paraId="08710D1F" w14:textId="0F03C5B5" w:rsidR="005E3A87" w:rsidRPr="00993B45" w:rsidRDefault="005E3A87" w:rsidP="00993B45">
                            <w:pPr>
                              <w:rPr>
                                <w:lang w:val="en-US"/>
                              </w:rPr>
                            </w:pPr>
                            <w:proofErr w:type="gramStart"/>
                            <w:r>
                              <w:rPr>
                                <w:lang w:val="en-US"/>
                              </w:rP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0A022" id="Text Box 30" o:spid="_x0000_s1034" type="#_x0000_t202" style="position:absolute;margin-left:22.9pt;margin-top:-707.55pt;width:24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" filled="f" stroked="f" strokeweight=".5pt">
                <v:textbox>
                  <w:txbxContent>
                    <w:p w14:paraId="08710D1F" w14:textId="0F03C5B5" w:rsidR="005E3A87" w:rsidRPr="00993B45" w:rsidRDefault="005E3A87" w:rsidP="00993B45">
                      <w:pPr>
                        <w:rPr>
                          <w:lang w:val="en-US"/>
                        </w:rPr>
                      </w:pPr>
                      <w:proofErr w:type="gramStart"/>
                      <w:r>
                        <w:rPr>
                          <w:lang w:val="en-US"/>
                        </w:rPr>
                        <w:t>a</w:t>
                      </w:r>
                      <w:proofErr w:type="gramEnd"/>
                    </w:p>
                  </w:txbxContent>
                </v:textbox>
              </v:shape>
            </w:pict>
          </mc:Fallback>
        </mc:AlternateContent>
      </w:r>
      <w:r w:rsidR="00775DC0">
        <w:rPr>
          <w:noProof/>
          <w:lang w:val="de-CH" w:eastAsia="de-CH"/>
        </w:rPr>
        <mc:AlternateContent>
          <mc:Choice Requires="wps">
            <w:drawing>
              <wp:anchor distT="0" distB="0" distL="114300" distR="114300" simplePos="0" relativeHeight="251674624" behindDoc="0" locked="0" layoutInCell="1" allowOverlap="1" wp14:anchorId="3316CB8F" wp14:editId="16263A4C">
                <wp:simplePos x="0" y="0"/>
                <wp:positionH relativeFrom="margin">
                  <wp:posOffset>295275</wp:posOffset>
                </wp:positionH>
                <wp:positionV relativeFrom="paragraph">
                  <wp:posOffset>-8968105</wp:posOffset>
                </wp:positionV>
                <wp:extent cx="304800" cy="3143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04800" cy="314325"/>
                        </a:xfrm>
                        <a:prstGeom prst="rect">
                          <a:avLst/>
                        </a:prstGeom>
                        <a:noFill/>
                        <a:ln w="6350">
                          <a:noFill/>
                        </a:ln>
                      </wps:spPr>
                      <wps:txbx>
                        <w:txbxContent>
                          <w:p w14:paraId="7230B82A" w14:textId="77777777" w:rsidR="005E3A87" w:rsidRPr="00993B45" w:rsidRDefault="005E3A87" w:rsidP="00993B45">
                            <w:pPr>
                              <w:rPr>
                                <w:lang w:val="en-US"/>
                              </w:rPr>
                            </w:pPr>
                            <w:proofErr w:type="gramStart"/>
                            <w:r>
                              <w:rPr>
                                <w:lang w:val="en-US"/>
                              </w:rP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6CB8F" id="Text Box 28" o:spid="_x0000_s1035" type="#_x0000_t202" style="position:absolute;margin-left:23.25pt;margin-top:-706.15pt;width:24pt;height:2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" filled="f" stroked="f" strokeweight=".5pt">
                <v:textbox>
                  <w:txbxContent>
                    <w:p w14:paraId="7230B82A" w14:textId="77777777" w:rsidR="005E3A87" w:rsidRPr="00993B45" w:rsidRDefault="005E3A87" w:rsidP="00993B45">
                      <w:pPr>
                        <w:rPr>
                          <w:lang w:val="en-US"/>
                        </w:rPr>
                      </w:pPr>
                      <w:proofErr w:type="gramStart"/>
                      <w:r>
                        <w:rPr>
                          <w:lang w:val="en-US"/>
                        </w:rPr>
                        <w:t>a</w:t>
                      </w:r>
                      <w:proofErr w:type="gramEnd"/>
                    </w:p>
                  </w:txbxContent>
                </v:textbox>
                <w10:wrap anchorx="margin"/>
              </v:shape>
            </w:pict>
          </mc:Fallback>
        </mc:AlternateContent>
      </w:r>
      <w:r w:rsidR="001D6492">
        <w:rPr>
          <w:noProof/>
          <w:lang w:val="de-CH" w:eastAsia="de-CH"/>
        </w:rPr>
        <mc:AlternateContent>
          <mc:Choice Requires="wps">
            <w:drawing>
              <wp:anchor distT="0" distB="0" distL="114300" distR="114300" simplePos="0" relativeHeight="251672576" behindDoc="0" locked="0" layoutInCell="1" allowOverlap="1" wp14:anchorId="0E4E48C2" wp14:editId="3ADCF3FF">
                <wp:simplePos x="0" y="0"/>
                <wp:positionH relativeFrom="column">
                  <wp:posOffset>3014980</wp:posOffset>
                </wp:positionH>
                <wp:positionV relativeFrom="paragraph">
                  <wp:posOffset>-8958580</wp:posOffset>
                </wp:positionV>
                <wp:extent cx="304800" cy="3143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04800" cy="314325"/>
                        </a:xfrm>
                        <a:prstGeom prst="rect">
                          <a:avLst/>
                        </a:prstGeom>
                        <a:noFill/>
                        <a:ln w="6350">
                          <a:noFill/>
                        </a:ln>
                      </wps:spPr>
                      <wps:txbx>
                        <w:txbxContent>
                          <w:p w14:paraId="35242986" w14:textId="29177F06" w:rsidR="005E3A87" w:rsidRPr="00993B45" w:rsidRDefault="005E3A87">
                            <w:pPr>
                              <w:rPr>
                                <w:lang w:val="en-US"/>
                              </w:rPr>
                            </w:pPr>
                            <w:proofErr w:type="gramStart"/>
                            <w:r>
                              <w:rPr>
                                <w:lang w:val="en-US"/>
                              </w:rP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E48C2" id="Text Box 24" o:spid="_x0000_s1036" type="#_x0000_t202" style="position:absolute;margin-left:237.4pt;margin-top:-705.4pt;width:24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" filled="f" stroked="f" strokeweight=".5pt">
                <v:textbox>
                  <w:txbxContent>
                    <w:p w14:paraId="35242986" w14:textId="29177F06" w:rsidR="005E3A87" w:rsidRPr="00993B45" w:rsidRDefault="005E3A87">
                      <w:pPr>
                        <w:rPr>
                          <w:lang w:val="en-US"/>
                        </w:rPr>
                      </w:pPr>
                      <w:proofErr w:type="gramStart"/>
                      <w:r>
                        <w:rPr>
                          <w:lang w:val="en-US"/>
                        </w:rPr>
                        <w:t>b</w:t>
                      </w:r>
                      <w:proofErr w:type="gramEnd"/>
                    </w:p>
                  </w:txbxContent>
                </v:textbox>
              </v:shape>
            </w:pict>
          </mc:Fallback>
        </mc:AlternateContent>
      </w:r>
      <w:r w:rsidR="005B5950" w:rsidRPr="00FC5850">
        <w:rPr>
          <w:rFonts w:ascii="Calibri Light" w:hAnsi="Calibri Light" w:cs="Calibri Light"/>
          <w:b/>
          <w:sz w:val="24"/>
        </w:rPr>
        <w:t>References</w:t>
      </w:r>
    </w:p>
    <w:p w14:paraId="3C646ED0" w14:textId="77777777" w:rsidR="003744F8" w:rsidRPr="003744F8" w:rsidRDefault="00D52CB9" w:rsidP="003744F8">
      <w:pPr>
        <w:pStyle w:val="EndNoteBibliography"/>
        <w:spacing w:after="0"/>
      </w:pPr>
      <w:r>
        <w:fldChar w:fldCharType="begin"/>
      </w:r>
      <w:r>
        <w:instrText xml:space="preserve"> ADDIN EN.REFLIST </w:instrText>
      </w:r>
      <w:r>
        <w:fldChar w:fldCharType="separate"/>
      </w:r>
      <w:r w:rsidR="003744F8" w:rsidRPr="003744F8">
        <w:t>European Commission, 2011. Commission Implementing Regulation (EU) No 1045/2011 of 19 October 2011 concerning the non-approval of the active substance asulam, in accordance with Regulation (EC) No 1107/2009 of the European Parliament and of the Council concerning the placing of plant protection products on the market, and amending Commission Decision 2008/934/EC. Official Journal of the European Union 275.</w:t>
      </w:r>
    </w:p>
    <w:p w14:paraId="39CA3293" w14:textId="77777777" w:rsidR="003744F8" w:rsidRPr="003744F8" w:rsidRDefault="003744F8" w:rsidP="003744F8">
      <w:pPr>
        <w:pStyle w:val="EndNoteBibliography"/>
        <w:spacing w:after="0"/>
      </w:pPr>
      <w:r w:rsidRPr="003744F8">
        <w:t>Gatto, L. and Lilley, K.S., 2012. MSnbase - an R/Bioconductor package for isobaric tagged mass spectrometry data visualization, processing and quantitation. Bioinformatics (28), 288-289.</w:t>
      </w:r>
    </w:p>
    <w:p w14:paraId="1A9C26A3" w14:textId="77777777" w:rsidR="003744F8" w:rsidRPr="003744F8" w:rsidRDefault="003744F8" w:rsidP="003744F8">
      <w:pPr>
        <w:pStyle w:val="EndNoteBibliography"/>
        <w:spacing w:after="0"/>
      </w:pPr>
      <w:r w:rsidRPr="003744F8">
        <w:t>OECD, 1999. Screening Information Dataset (SIDS) Initial Assessment Report (SIAR): Melamine CAS N°:108-78-1. UNEP Publications, 110-198.</w:t>
      </w:r>
    </w:p>
    <w:p w14:paraId="7DFC320F" w14:textId="4FE05EDF" w:rsidR="003744F8" w:rsidRPr="003744F8" w:rsidRDefault="003744F8" w:rsidP="003744F8">
      <w:pPr>
        <w:pStyle w:val="EndNoteBibliography"/>
        <w:spacing w:after="0"/>
      </w:pPr>
      <w:r w:rsidRPr="003744F8">
        <w:t xml:space="preserve">R Core Team, 2016. R: A language and environment for statistical computing. R Foundation for Statistical Computing, Vienna, Austria. </w:t>
      </w:r>
      <w:hyperlink r:id="rId22" w:history="1">
        <w:r w:rsidRPr="003744F8">
          <w:rPr>
            <w:rStyle w:val="Hyperlink"/>
          </w:rPr>
          <w:t>https://www.R-project.org/</w:t>
        </w:r>
      </w:hyperlink>
      <w:r w:rsidRPr="003744F8">
        <w:t>.</w:t>
      </w:r>
    </w:p>
    <w:p w14:paraId="5C6B9E8D" w14:textId="77777777" w:rsidR="003744F8" w:rsidRPr="003744F8" w:rsidRDefault="003744F8" w:rsidP="003744F8">
      <w:pPr>
        <w:pStyle w:val="EndNoteBibliography"/>
        <w:spacing w:after="0"/>
      </w:pPr>
      <w:r w:rsidRPr="003744F8">
        <w:t>Reemtsma, T., Alder, L. and Banasiak, U., 2013. A multimethod for the determination of 150 pesticide metabolites in surface water and groundwater using direct injection liquid chromatography-mass spectrometry. Journal of chromatography A 1271(1), 95-104.</w:t>
      </w:r>
    </w:p>
    <w:p w14:paraId="76195838" w14:textId="77777777" w:rsidR="003744F8" w:rsidRPr="003744F8" w:rsidRDefault="003744F8" w:rsidP="003744F8">
      <w:pPr>
        <w:pStyle w:val="EndNoteBibliography"/>
        <w:spacing w:after="0"/>
      </w:pPr>
      <w:r w:rsidRPr="003744F8">
        <w:t>Seitz, W. and Winzenbacher, R., 2017. A survey on trace organic chemicals in a German water protection area and the proposal of relevant indicators for anthropogenic influences. Environmental Monitoring Assessment 189, 1-17.</w:t>
      </w:r>
    </w:p>
    <w:p w14:paraId="75E74A65" w14:textId="77777777" w:rsidR="003744F8" w:rsidRPr="003744F8" w:rsidRDefault="003744F8" w:rsidP="003744F8">
      <w:pPr>
        <w:pStyle w:val="EndNoteBibliography"/>
      </w:pPr>
      <w:r w:rsidRPr="003744F8">
        <w:t>Stravs, M.A., Schymanski, E.L., Singer, H.P. and Hollender, J., 2013. Automatic recalibration and processing of tandem mass spectra using formula annotation. J Mass Spectrom 48(1), 89-99.</w:t>
      </w:r>
    </w:p>
    <w:p w14:paraId="3DD56F87" w14:textId="3FBA535E" w:rsidR="00FB6414" w:rsidRDefault="00D52CB9" w:rsidP="00622B98">
      <w:pPr>
        <w:pStyle w:val="Caption"/>
      </w:pPr>
      <w:r>
        <w:fldChar w:fldCharType="end"/>
      </w:r>
    </w:p>
    <w:sectPr w:rsidR="00FB6414" w:rsidSect="009C6656">
      <w:footerReference w:type="default" r:id="rId2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DA2BB" w14:textId="77777777" w:rsidR="005E3A87" w:rsidRDefault="005E3A87" w:rsidP="009C6656">
      <w:pPr>
        <w:spacing w:after="0" w:line="240" w:lineRule="auto"/>
      </w:pPr>
      <w:r>
        <w:separator/>
      </w:r>
    </w:p>
  </w:endnote>
  <w:endnote w:type="continuationSeparator" w:id="0">
    <w:p w14:paraId="040413A2" w14:textId="77777777" w:rsidR="005E3A87" w:rsidRDefault="005E3A87" w:rsidP="009C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619192"/>
      <w:docPartObj>
        <w:docPartGallery w:val="Page Numbers (Bottom of Page)"/>
        <w:docPartUnique/>
      </w:docPartObj>
    </w:sdtPr>
    <w:sdtEndPr>
      <w:rPr>
        <w:noProof/>
      </w:rPr>
    </w:sdtEndPr>
    <w:sdtContent>
      <w:p w14:paraId="6B0A8EDF" w14:textId="3A30EA15" w:rsidR="005E3A87" w:rsidRDefault="005E3A87">
        <w:pPr>
          <w:pStyle w:val="Footer"/>
          <w:jc w:val="center"/>
        </w:pPr>
        <w:r>
          <w:fldChar w:fldCharType="begin"/>
        </w:r>
        <w:r>
          <w:instrText xml:space="preserve"> PAGE   \* MERGEFORMAT </w:instrText>
        </w:r>
        <w:r>
          <w:fldChar w:fldCharType="separate"/>
        </w:r>
        <w:r w:rsidR="00F9759D">
          <w:rPr>
            <w:noProof/>
          </w:rPr>
          <w:t>15</w:t>
        </w:r>
        <w:r>
          <w:rPr>
            <w:noProof/>
          </w:rPr>
          <w:fldChar w:fldCharType="end"/>
        </w:r>
      </w:p>
    </w:sdtContent>
  </w:sdt>
  <w:p w14:paraId="20DB7612" w14:textId="77777777" w:rsidR="005E3A87" w:rsidRDefault="005E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E5422" w14:textId="77777777" w:rsidR="005E3A87" w:rsidRDefault="005E3A87" w:rsidP="009C6656">
      <w:pPr>
        <w:spacing w:after="0" w:line="240" w:lineRule="auto"/>
      </w:pPr>
      <w:r>
        <w:separator/>
      </w:r>
    </w:p>
  </w:footnote>
  <w:footnote w:type="continuationSeparator" w:id="0">
    <w:p w14:paraId="57BDC9A7" w14:textId="77777777" w:rsidR="005E3A87" w:rsidRDefault="005E3A87" w:rsidP="009C6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06F"/>
    <w:multiLevelType w:val="hybridMultilevel"/>
    <w:tmpl w:val="35F692C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6E3218"/>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91E67D1"/>
    <w:multiLevelType w:val="hybridMultilevel"/>
    <w:tmpl w:val="1BB2CA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en-GB" w:vendorID="64" w:dllVersion="131078" w:nlCheck="1" w:checkStyle="1"/>
  <w:activeWritingStyle w:appName="MSWord" w:lang="de-CH"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Water Research_KK&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32BB9"/>
    <w:rsid w:val="000102AC"/>
    <w:rsid w:val="00011B6F"/>
    <w:rsid w:val="00012FF3"/>
    <w:rsid w:val="0003402B"/>
    <w:rsid w:val="00037A33"/>
    <w:rsid w:val="000404F0"/>
    <w:rsid w:val="00046586"/>
    <w:rsid w:val="00065923"/>
    <w:rsid w:val="000775E3"/>
    <w:rsid w:val="00080667"/>
    <w:rsid w:val="00083A06"/>
    <w:rsid w:val="000A3530"/>
    <w:rsid w:val="000E0902"/>
    <w:rsid w:val="00102C06"/>
    <w:rsid w:val="00103A3B"/>
    <w:rsid w:val="00105787"/>
    <w:rsid w:val="001255AC"/>
    <w:rsid w:val="00126360"/>
    <w:rsid w:val="00132BB9"/>
    <w:rsid w:val="00137512"/>
    <w:rsid w:val="001504F2"/>
    <w:rsid w:val="00150759"/>
    <w:rsid w:val="00151D6B"/>
    <w:rsid w:val="00154A02"/>
    <w:rsid w:val="001737AB"/>
    <w:rsid w:val="0017631E"/>
    <w:rsid w:val="00181B0F"/>
    <w:rsid w:val="0018626D"/>
    <w:rsid w:val="001868C1"/>
    <w:rsid w:val="00194C64"/>
    <w:rsid w:val="001A2B87"/>
    <w:rsid w:val="001A5D7B"/>
    <w:rsid w:val="001B1D53"/>
    <w:rsid w:val="001C5D9D"/>
    <w:rsid w:val="001D6492"/>
    <w:rsid w:val="001F57EF"/>
    <w:rsid w:val="0021059D"/>
    <w:rsid w:val="002105E7"/>
    <w:rsid w:val="00215804"/>
    <w:rsid w:val="002231E5"/>
    <w:rsid w:val="002238D2"/>
    <w:rsid w:val="00231FA6"/>
    <w:rsid w:val="00241A39"/>
    <w:rsid w:val="00264432"/>
    <w:rsid w:val="00270804"/>
    <w:rsid w:val="0027120D"/>
    <w:rsid w:val="00283B8A"/>
    <w:rsid w:val="00284F80"/>
    <w:rsid w:val="0029342B"/>
    <w:rsid w:val="00294571"/>
    <w:rsid w:val="00296587"/>
    <w:rsid w:val="002A5383"/>
    <w:rsid w:val="002C104C"/>
    <w:rsid w:val="002C1917"/>
    <w:rsid w:val="002C6A77"/>
    <w:rsid w:val="002D3FD2"/>
    <w:rsid w:val="002D6D19"/>
    <w:rsid w:val="002E3D0F"/>
    <w:rsid w:val="002E491C"/>
    <w:rsid w:val="002E5A76"/>
    <w:rsid w:val="002F232F"/>
    <w:rsid w:val="00306800"/>
    <w:rsid w:val="003127B9"/>
    <w:rsid w:val="00313BBF"/>
    <w:rsid w:val="00316853"/>
    <w:rsid w:val="00331179"/>
    <w:rsid w:val="00361DCB"/>
    <w:rsid w:val="003744F8"/>
    <w:rsid w:val="00385E9B"/>
    <w:rsid w:val="00387894"/>
    <w:rsid w:val="003A03BF"/>
    <w:rsid w:val="003B6E15"/>
    <w:rsid w:val="003C01CD"/>
    <w:rsid w:val="003D48B6"/>
    <w:rsid w:val="003E1919"/>
    <w:rsid w:val="003E2C61"/>
    <w:rsid w:val="003E40CF"/>
    <w:rsid w:val="003F329E"/>
    <w:rsid w:val="003F6215"/>
    <w:rsid w:val="00403C95"/>
    <w:rsid w:val="00452AE4"/>
    <w:rsid w:val="00462E47"/>
    <w:rsid w:val="004700EC"/>
    <w:rsid w:val="00486084"/>
    <w:rsid w:val="00491DFA"/>
    <w:rsid w:val="005168DF"/>
    <w:rsid w:val="0052173D"/>
    <w:rsid w:val="00525004"/>
    <w:rsid w:val="00525B08"/>
    <w:rsid w:val="00532B1C"/>
    <w:rsid w:val="0054282F"/>
    <w:rsid w:val="00542CFA"/>
    <w:rsid w:val="005431DB"/>
    <w:rsid w:val="00545A39"/>
    <w:rsid w:val="00546DC0"/>
    <w:rsid w:val="0056485F"/>
    <w:rsid w:val="00574288"/>
    <w:rsid w:val="00583E40"/>
    <w:rsid w:val="0058494D"/>
    <w:rsid w:val="005A1AB0"/>
    <w:rsid w:val="005A43F8"/>
    <w:rsid w:val="005B1466"/>
    <w:rsid w:val="005B5950"/>
    <w:rsid w:val="005B5EEF"/>
    <w:rsid w:val="005B7774"/>
    <w:rsid w:val="005B7935"/>
    <w:rsid w:val="005B7C0B"/>
    <w:rsid w:val="005C4664"/>
    <w:rsid w:val="005E3A87"/>
    <w:rsid w:val="00622B98"/>
    <w:rsid w:val="006367D3"/>
    <w:rsid w:val="00650066"/>
    <w:rsid w:val="00650769"/>
    <w:rsid w:val="00654A4A"/>
    <w:rsid w:val="00674DA8"/>
    <w:rsid w:val="00693C28"/>
    <w:rsid w:val="006A59C2"/>
    <w:rsid w:val="006B294A"/>
    <w:rsid w:val="006B3719"/>
    <w:rsid w:val="006B3D68"/>
    <w:rsid w:val="006C1C56"/>
    <w:rsid w:val="006C21F7"/>
    <w:rsid w:val="006D20D1"/>
    <w:rsid w:val="006D749A"/>
    <w:rsid w:val="006E0DD7"/>
    <w:rsid w:val="006E3FD0"/>
    <w:rsid w:val="006F4AE3"/>
    <w:rsid w:val="006F4F44"/>
    <w:rsid w:val="007070DD"/>
    <w:rsid w:val="00716659"/>
    <w:rsid w:val="007643BD"/>
    <w:rsid w:val="00775DC0"/>
    <w:rsid w:val="00781A55"/>
    <w:rsid w:val="00785323"/>
    <w:rsid w:val="00787E84"/>
    <w:rsid w:val="00793A91"/>
    <w:rsid w:val="007C6919"/>
    <w:rsid w:val="007D4B43"/>
    <w:rsid w:val="007D65D3"/>
    <w:rsid w:val="007E123B"/>
    <w:rsid w:val="007E2E26"/>
    <w:rsid w:val="007E4FE0"/>
    <w:rsid w:val="007F3ED0"/>
    <w:rsid w:val="00800649"/>
    <w:rsid w:val="00805467"/>
    <w:rsid w:val="00814262"/>
    <w:rsid w:val="00826261"/>
    <w:rsid w:val="0083208A"/>
    <w:rsid w:val="008403AE"/>
    <w:rsid w:val="00847512"/>
    <w:rsid w:val="008723F2"/>
    <w:rsid w:val="00874135"/>
    <w:rsid w:val="00881156"/>
    <w:rsid w:val="008B1692"/>
    <w:rsid w:val="008C2200"/>
    <w:rsid w:val="008C3E28"/>
    <w:rsid w:val="008C550B"/>
    <w:rsid w:val="008E617B"/>
    <w:rsid w:val="008F0C68"/>
    <w:rsid w:val="008F4107"/>
    <w:rsid w:val="009069B5"/>
    <w:rsid w:val="0091255D"/>
    <w:rsid w:val="00921CD4"/>
    <w:rsid w:val="009224EA"/>
    <w:rsid w:val="00926749"/>
    <w:rsid w:val="00931C9E"/>
    <w:rsid w:val="0094053D"/>
    <w:rsid w:val="00961D1D"/>
    <w:rsid w:val="00974BF2"/>
    <w:rsid w:val="009751DC"/>
    <w:rsid w:val="00976D6A"/>
    <w:rsid w:val="00985E24"/>
    <w:rsid w:val="00993B45"/>
    <w:rsid w:val="009C6656"/>
    <w:rsid w:val="009D2677"/>
    <w:rsid w:val="009F0707"/>
    <w:rsid w:val="009F6E03"/>
    <w:rsid w:val="00A01CEF"/>
    <w:rsid w:val="00A155A7"/>
    <w:rsid w:val="00A16D0C"/>
    <w:rsid w:val="00A31695"/>
    <w:rsid w:val="00A567BF"/>
    <w:rsid w:val="00A60F14"/>
    <w:rsid w:val="00A66E54"/>
    <w:rsid w:val="00A7397F"/>
    <w:rsid w:val="00AA2984"/>
    <w:rsid w:val="00AA4DD8"/>
    <w:rsid w:val="00AB4000"/>
    <w:rsid w:val="00AB4C1F"/>
    <w:rsid w:val="00AC3857"/>
    <w:rsid w:val="00AC72A8"/>
    <w:rsid w:val="00AF7DBA"/>
    <w:rsid w:val="00B01169"/>
    <w:rsid w:val="00B10534"/>
    <w:rsid w:val="00B220A2"/>
    <w:rsid w:val="00B270E3"/>
    <w:rsid w:val="00B43E7B"/>
    <w:rsid w:val="00B4624F"/>
    <w:rsid w:val="00B55D80"/>
    <w:rsid w:val="00B55E11"/>
    <w:rsid w:val="00B6083B"/>
    <w:rsid w:val="00B73635"/>
    <w:rsid w:val="00B918DD"/>
    <w:rsid w:val="00BA1C8B"/>
    <w:rsid w:val="00BB090B"/>
    <w:rsid w:val="00BB0D03"/>
    <w:rsid w:val="00BB2B54"/>
    <w:rsid w:val="00BB36E9"/>
    <w:rsid w:val="00BC1E07"/>
    <w:rsid w:val="00BC2CF4"/>
    <w:rsid w:val="00BF28C8"/>
    <w:rsid w:val="00C23AB0"/>
    <w:rsid w:val="00C33FD0"/>
    <w:rsid w:val="00C47F3B"/>
    <w:rsid w:val="00C556F6"/>
    <w:rsid w:val="00C56F52"/>
    <w:rsid w:val="00C618C8"/>
    <w:rsid w:val="00C9492F"/>
    <w:rsid w:val="00CA4B99"/>
    <w:rsid w:val="00CB1C85"/>
    <w:rsid w:val="00CF5535"/>
    <w:rsid w:val="00CF762D"/>
    <w:rsid w:val="00CF77E8"/>
    <w:rsid w:val="00D1018F"/>
    <w:rsid w:val="00D11E54"/>
    <w:rsid w:val="00D347A1"/>
    <w:rsid w:val="00D444C5"/>
    <w:rsid w:val="00D52CB9"/>
    <w:rsid w:val="00D8225B"/>
    <w:rsid w:val="00D94044"/>
    <w:rsid w:val="00DA285E"/>
    <w:rsid w:val="00DA5BDC"/>
    <w:rsid w:val="00DA7F3D"/>
    <w:rsid w:val="00DB14F7"/>
    <w:rsid w:val="00DB1AC1"/>
    <w:rsid w:val="00DB3628"/>
    <w:rsid w:val="00DB3E56"/>
    <w:rsid w:val="00DD5BE9"/>
    <w:rsid w:val="00E0002C"/>
    <w:rsid w:val="00E076B2"/>
    <w:rsid w:val="00E20B7C"/>
    <w:rsid w:val="00E3188A"/>
    <w:rsid w:val="00E329F0"/>
    <w:rsid w:val="00E457E8"/>
    <w:rsid w:val="00E45CA2"/>
    <w:rsid w:val="00E61CF7"/>
    <w:rsid w:val="00E71E1D"/>
    <w:rsid w:val="00E92C12"/>
    <w:rsid w:val="00E9528F"/>
    <w:rsid w:val="00EB20E8"/>
    <w:rsid w:val="00EC5F9E"/>
    <w:rsid w:val="00EC7F2F"/>
    <w:rsid w:val="00EE2C62"/>
    <w:rsid w:val="00EF4495"/>
    <w:rsid w:val="00EF481E"/>
    <w:rsid w:val="00F04EA5"/>
    <w:rsid w:val="00F30A8E"/>
    <w:rsid w:val="00F5253C"/>
    <w:rsid w:val="00F62BD0"/>
    <w:rsid w:val="00F9759D"/>
    <w:rsid w:val="00FB2BFB"/>
    <w:rsid w:val="00FB6414"/>
    <w:rsid w:val="00FC2CE8"/>
    <w:rsid w:val="00FC5850"/>
    <w:rsid w:val="00FE32D8"/>
    <w:rsid w:val="00FF6E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834A"/>
  <w15:docId w15:val="{E069E587-EE04-412D-AC8D-E6F2806C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C62"/>
    <w:pPr>
      <w:spacing w:line="300" w:lineRule="auto"/>
      <w:jc w:val="both"/>
    </w:pPr>
    <w:rPr>
      <w:lang w:val="en-GB"/>
    </w:rPr>
  </w:style>
  <w:style w:type="paragraph" w:styleId="Heading1">
    <w:name w:val="heading 1"/>
    <w:basedOn w:val="Normal"/>
    <w:next w:val="Normal"/>
    <w:link w:val="Heading1Char"/>
    <w:uiPriority w:val="9"/>
    <w:qFormat/>
    <w:rsid w:val="00622B98"/>
    <w:pPr>
      <w:keepNext/>
      <w:keepLines/>
      <w:spacing w:before="480" w:after="0"/>
      <w:outlineLvl w:val="0"/>
    </w:pPr>
    <w:rPr>
      <w:rFonts w:ascii="Calibri Light" w:eastAsiaTheme="majorEastAsia" w:hAnsi="Calibri Light" w:cs="Calibri Light"/>
      <w:b/>
      <w:bCs/>
      <w:sz w:val="24"/>
      <w:szCs w:val="24"/>
    </w:rPr>
  </w:style>
  <w:style w:type="paragraph" w:styleId="Heading2">
    <w:name w:val="heading 2"/>
    <w:basedOn w:val="Normal"/>
    <w:next w:val="Normal"/>
    <w:link w:val="Heading2Char"/>
    <w:uiPriority w:val="9"/>
    <w:unhideWhenUsed/>
    <w:qFormat/>
    <w:rsid w:val="00805467"/>
    <w:pPr>
      <w:keepNext/>
      <w:keepLines/>
      <w:spacing w:before="200" w:after="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0546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5467"/>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05467"/>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05467"/>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05467"/>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0546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0546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B98"/>
    <w:rPr>
      <w:rFonts w:ascii="Calibri Light" w:eastAsiaTheme="majorEastAsia" w:hAnsi="Calibri Light" w:cs="Calibri Light"/>
      <w:b/>
      <w:bCs/>
      <w:sz w:val="24"/>
      <w:szCs w:val="24"/>
      <w:lang w:val="en-GB"/>
    </w:rPr>
  </w:style>
  <w:style w:type="paragraph" w:styleId="Caption">
    <w:name w:val="caption"/>
    <w:basedOn w:val="Normal"/>
    <w:next w:val="Normal"/>
    <w:uiPriority w:val="35"/>
    <w:unhideWhenUsed/>
    <w:qFormat/>
    <w:rsid w:val="00622B98"/>
    <w:pPr>
      <w:spacing w:after="0" w:line="240" w:lineRule="auto"/>
    </w:pPr>
    <w:rPr>
      <w:bCs/>
      <w:szCs w:val="18"/>
    </w:rPr>
  </w:style>
  <w:style w:type="table" w:styleId="TableGrid">
    <w:name w:val="Table Grid"/>
    <w:basedOn w:val="TableNormal"/>
    <w:rsid w:val="0046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002C"/>
    <w:rPr>
      <w:color w:val="0000FF" w:themeColor="hyperlink"/>
      <w:u w:val="single"/>
    </w:rPr>
  </w:style>
  <w:style w:type="character" w:customStyle="1" w:styleId="pl-en">
    <w:name w:val="pl-en"/>
    <w:basedOn w:val="DefaultParagraphFont"/>
    <w:rsid w:val="00E0002C"/>
  </w:style>
  <w:style w:type="character" w:styleId="PlaceholderText">
    <w:name w:val="Placeholder Text"/>
    <w:basedOn w:val="DefaultParagraphFont"/>
    <w:uiPriority w:val="99"/>
    <w:semiHidden/>
    <w:rsid w:val="00D11E54"/>
    <w:rPr>
      <w:color w:val="808080"/>
    </w:rPr>
  </w:style>
  <w:style w:type="paragraph" w:styleId="BalloonText">
    <w:name w:val="Balloon Text"/>
    <w:basedOn w:val="Normal"/>
    <w:link w:val="BalloonTextChar"/>
    <w:uiPriority w:val="99"/>
    <w:semiHidden/>
    <w:unhideWhenUsed/>
    <w:rsid w:val="00D11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E54"/>
    <w:rPr>
      <w:rFonts w:ascii="Tahoma" w:hAnsi="Tahoma" w:cs="Tahoma"/>
      <w:sz w:val="16"/>
      <w:szCs w:val="16"/>
      <w:lang w:val="en-GB"/>
    </w:rPr>
  </w:style>
  <w:style w:type="character" w:customStyle="1" w:styleId="Heading3Char">
    <w:name w:val="Heading 3 Char"/>
    <w:basedOn w:val="DefaultParagraphFont"/>
    <w:link w:val="Heading3"/>
    <w:uiPriority w:val="9"/>
    <w:rsid w:val="00805467"/>
    <w:rPr>
      <w:rFonts w:asciiTheme="majorHAnsi" w:eastAsiaTheme="majorEastAsia" w:hAnsiTheme="majorHAnsi" w:cstheme="majorBidi"/>
      <w:b/>
      <w:bCs/>
      <w:color w:val="4F81BD" w:themeColor="accent1"/>
      <w:lang w:val="en-GB"/>
    </w:rPr>
  </w:style>
  <w:style w:type="character" w:customStyle="1" w:styleId="Heading2Char">
    <w:name w:val="Heading 2 Char"/>
    <w:basedOn w:val="DefaultParagraphFont"/>
    <w:link w:val="Heading2"/>
    <w:uiPriority w:val="9"/>
    <w:rsid w:val="00805467"/>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805467"/>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805467"/>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805467"/>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80546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80546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805467"/>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805467"/>
    <w:pPr>
      <w:ind w:left="720"/>
      <w:contextualSpacing/>
    </w:pPr>
    <w:rPr>
      <w:rFonts w:eastAsia="Batang"/>
    </w:rPr>
  </w:style>
  <w:style w:type="paragraph" w:styleId="TableofFigures">
    <w:name w:val="table of figures"/>
    <w:basedOn w:val="Normal"/>
    <w:next w:val="Normal"/>
    <w:uiPriority w:val="99"/>
    <w:unhideWhenUsed/>
    <w:rsid w:val="00316853"/>
    <w:pPr>
      <w:spacing w:after="0"/>
    </w:pPr>
  </w:style>
  <w:style w:type="paragraph" w:styleId="TOC1">
    <w:name w:val="toc 1"/>
    <w:basedOn w:val="Normal"/>
    <w:next w:val="Normal"/>
    <w:autoRedefine/>
    <w:uiPriority w:val="39"/>
    <w:semiHidden/>
    <w:unhideWhenUsed/>
    <w:rsid w:val="00316853"/>
    <w:pPr>
      <w:spacing w:after="100"/>
    </w:pPr>
  </w:style>
  <w:style w:type="paragraph" w:customStyle="1" w:styleId="EndNoteBibliographyTitle">
    <w:name w:val="EndNote Bibliography Title"/>
    <w:basedOn w:val="Normal"/>
    <w:link w:val="EndNoteBibliographyTitleChar"/>
    <w:rsid w:val="00D52CB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52CB9"/>
    <w:rPr>
      <w:rFonts w:ascii="Calibri" w:hAnsi="Calibri" w:cs="Calibri"/>
      <w:noProof/>
      <w:lang w:val="en-US"/>
    </w:rPr>
  </w:style>
  <w:style w:type="paragraph" w:customStyle="1" w:styleId="EndNoteBibliography">
    <w:name w:val="EndNote Bibliography"/>
    <w:basedOn w:val="Normal"/>
    <w:link w:val="EndNoteBibliographyChar"/>
    <w:rsid w:val="00D52CB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52CB9"/>
    <w:rPr>
      <w:rFonts w:ascii="Calibri" w:hAnsi="Calibri" w:cs="Calibri"/>
      <w:noProof/>
      <w:lang w:val="en-US"/>
    </w:rPr>
  </w:style>
  <w:style w:type="character" w:styleId="CommentReference">
    <w:name w:val="annotation reference"/>
    <w:basedOn w:val="DefaultParagraphFont"/>
    <w:uiPriority w:val="99"/>
    <w:semiHidden/>
    <w:unhideWhenUsed/>
    <w:rsid w:val="00A7397F"/>
    <w:rPr>
      <w:sz w:val="16"/>
      <w:szCs w:val="16"/>
    </w:rPr>
  </w:style>
  <w:style w:type="paragraph" w:styleId="CommentText">
    <w:name w:val="annotation text"/>
    <w:basedOn w:val="Normal"/>
    <w:link w:val="CommentTextChar"/>
    <w:uiPriority w:val="99"/>
    <w:unhideWhenUsed/>
    <w:rsid w:val="00A7397F"/>
    <w:pPr>
      <w:spacing w:line="240" w:lineRule="auto"/>
    </w:pPr>
    <w:rPr>
      <w:sz w:val="20"/>
      <w:szCs w:val="20"/>
    </w:rPr>
  </w:style>
  <w:style w:type="character" w:customStyle="1" w:styleId="CommentTextChar">
    <w:name w:val="Comment Text Char"/>
    <w:basedOn w:val="DefaultParagraphFont"/>
    <w:link w:val="CommentText"/>
    <w:uiPriority w:val="99"/>
    <w:rsid w:val="00A7397F"/>
    <w:rPr>
      <w:sz w:val="20"/>
      <w:szCs w:val="20"/>
      <w:lang w:val="en-GB"/>
    </w:rPr>
  </w:style>
  <w:style w:type="paragraph" w:styleId="CommentSubject">
    <w:name w:val="annotation subject"/>
    <w:basedOn w:val="CommentText"/>
    <w:next w:val="CommentText"/>
    <w:link w:val="CommentSubjectChar"/>
    <w:uiPriority w:val="99"/>
    <w:semiHidden/>
    <w:unhideWhenUsed/>
    <w:rsid w:val="00A7397F"/>
    <w:rPr>
      <w:b/>
      <w:bCs/>
    </w:rPr>
  </w:style>
  <w:style w:type="character" w:customStyle="1" w:styleId="CommentSubjectChar">
    <w:name w:val="Comment Subject Char"/>
    <w:basedOn w:val="CommentTextChar"/>
    <w:link w:val="CommentSubject"/>
    <w:uiPriority w:val="99"/>
    <w:semiHidden/>
    <w:rsid w:val="00A7397F"/>
    <w:rPr>
      <w:b/>
      <w:bCs/>
      <w:sz w:val="20"/>
      <w:szCs w:val="20"/>
      <w:lang w:val="en-GB"/>
    </w:rPr>
  </w:style>
  <w:style w:type="character" w:customStyle="1" w:styleId="st">
    <w:name w:val="st"/>
    <w:basedOn w:val="DefaultParagraphFont"/>
    <w:rsid w:val="00A31695"/>
  </w:style>
  <w:style w:type="paragraph" w:customStyle="1" w:styleId="BCAuthorAddress">
    <w:name w:val="BC_Author_Address"/>
    <w:basedOn w:val="Normal"/>
    <w:next w:val="Normal"/>
    <w:rsid w:val="00DB3E56"/>
    <w:pPr>
      <w:autoSpaceDE w:val="0"/>
      <w:autoSpaceDN w:val="0"/>
      <w:spacing w:after="240" w:line="480" w:lineRule="auto"/>
      <w:jc w:val="center"/>
    </w:pPr>
    <w:rPr>
      <w:rFonts w:ascii="Times" w:eastAsia="Times New Roman" w:hAnsi="Times" w:cs="Times New Roman"/>
      <w:sz w:val="24"/>
      <w:szCs w:val="20"/>
      <w:lang w:val="en-US"/>
    </w:rPr>
  </w:style>
  <w:style w:type="paragraph" w:styleId="Header">
    <w:name w:val="header"/>
    <w:basedOn w:val="Normal"/>
    <w:link w:val="HeaderChar"/>
    <w:uiPriority w:val="99"/>
    <w:unhideWhenUsed/>
    <w:rsid w:val="009C66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6656"/>
    <w:rPr>
      <w:lang w:val="en-GB"/>
    </w:rPr>
  </w:style>
  <w:style w:type="paragraph" w:styleId="Footer">
    <w:name w:val="footer"/>
    <w:basedOn w:val="Normal"/>
    <w:link w:val="FooterChar"/>
    <w:uiPriority w:val="99"/>
    <w:unhideWhenUsed/>
    <w:rsid w:val="009C66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665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e.hollender@eawag.ch" TargetMode="External"/><Relationship Id="rId13" Type="http://schemas.openxmlformats.org/officeDocument/2006/relationships/image" Target="media/image4.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t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ithub.com/dutchjes/MSMSsim" TargetMode="External"/><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github.com/dutchjes/TFAnalyzeR/blob/master/RelativeRecoveryCalculation.R" TargetMode="External"/><Relationship Id="rId14" Type="http://schemas.openxmlformats.org/officeDocument/2006/relationships/image" Target="media/image5.png"/><Relationship Id="rId22" Type="http://schemas.openxmlformats.org/officeDocument/2006/relationships/hyperlink" Target="https://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2C77C-4EDE-4FB7-8643-EC6253AD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4437</Words>
  <Characters>27956</Characters>
  <Application>Microsoft Office Word</Application>
  <DocSecurity>0</DocSecurity>
  <Lines>232</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ETH Zuerich</Company>
  <LinksUpToDate>false</LinksUpToDate>
  <CharactersWithSpaces>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Kiefer, Karin</dc:creator>
  <cp:keywords/>
  <dc:description/>
  <cp:lastModifiedBy>Kiefer, Karin</cp:lastModifiedBy>
  <cp:revision>57</cp:revision>
  <dcterms:created xsi:type="dcterms:W3CDTF">2019-04-02T12:20:00Z</dcterms:created>
  <dcterms:modified xsi:type="dcterms:W3CDTF">2019-07-03T13:29:00Z</dcterms:modified>
</cp:coreProperties>
</file>